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"/>
        <w:numPr>
          <w:ilvl w:val="0"/>
          <w:numId w:val="0"/>
        </w:numPr>
        <w:spacing w:before="120" w:after="0"/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1: </w:t>
      </w:r>
      <w:r>
        <w:rPr>
          <w:rFonts w:eastAsia="MS Mincho;MS Gothic"/>
          <w:lang w:val="fr-BE" w:eastAsia="en-US"/>
        </w:rPr>
        <w:t>идентификация вещества / смеси и компании / предприятия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1.1.</w:t>
        <w:tab/>
      </w:r>
      <w:r>
        <w:rPr>
          <w:rFonts w:eastAsia="MS Mincho;MS Gothic"/>
          <w:lang w:eastAsia="en-US"/>
        </w:rPr>
        <w:t>идентификатор продукта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Химический тип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Вещество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вещество название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вещества 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сульфат аммония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торговое наименование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>
                <w:rFonts w:eastAsia="MS Mincho;MS Gothic"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lang w:val="ru-RU" w:eastAsia="en-US"/>
              </w:rPr>
              <w:t>, гранулированный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EC no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231-984-1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CAS No.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7783-20-2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Reach регистрационный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01-2119455044-46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номер: 01-2119455044-46 название IUPAC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сульфат диаммония</w:t>
            </w:r>
          </w:p>
        </w:tc>
      </w:tr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Формула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H3N. 1 / 2H2O4S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1.2.</w:t>
        <w:tab/>
      </w:r>
      <w:r>
        <w:rPr>
          <w:rFonts w:eastAsia="MS Mincho;MS Gothic"/>
          <w:lang w:val="nl-BE" w:eastAsia="en-US"/>
        </w:rPr>
        <w:t>соответствующие идентифицированные виды применения вещества или смеси и рекомендуемые виды применения</w:t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1.2.1.</w:t>
        <w:tab/>
      </w:r>
      <w:r>
        <w:rPr>
          <w:rFonts w:eastAsia="MS Mincho;MS Gothic"/>
          <w:lang w:val="en-US" w:eastAsia="en-US"/>
        </w:rPr>
        <w:t>соответствующие идентифицированные виды использования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Применение вещества / препарата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удобрения</w:t>
              <w:br/>
              <w:t>промежуточные</w:t>
              <w:br/>
              <w:t>лабораторные химикаты</w:t>
              <w:br/>
              <w:t>антипирены и противопожарные средства</w:t>
              <w:br/>
              <w:t>рН-регуляторы</w:t>
              <w:br/>
              <w:t>фармацевтические препараты</w:t>
              <w:br/>
              <w:t>косметика</w:t>
              <w:br/>
              <w:t>гербицид.</w:t>
              <w:br/>
              <w:t>Инсектицид.</w:t>
              <w:br/>
              <w:t>Фунгицидное средство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1.2.2.</w:t>
        <w:tab/>
      </w:r>
      <w:r>
        <w:rPr>
          <w:rFonts w:eastAsia="MS Mincho;MS Gothic"/>
          <w:lang w:val="en-US" w:eastAsia="en-US"/>
        </w:rPr>
        <w:t>использование не рекомендуется</w:t>
      </w:r>
    </w:p>
    <w:p>
      <w:pPr>
        <w:pStyle w:val="Normal"/>
        <w:rPr>
          <w:rFonts w:eastAsia="MS Mincho;MS Gothic"/>
          <w:lang w:val="nl-BE"/>
        </w:rPr>
      </w:pPr>
      <w:r>
        <w:rPr>
          <w:rFonts w:eastAsia="MS Mincho;MS Gothic"/>
          <w:lang w:val="nl-BE"/>
        </w:rPr>
        <w:t>Дополнительная информация отсутствует</w:t>
      </w:r>
    </w:p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1.3.</w:t>
        <w:tab/>
      </w:r>
      <w:r>
        <w:rPr>
          <w:rFonts w:eastAsia="MS Mincho;MS Gothic"/>
          <w:lang w:val="en-US" w:eastAsia="en-US"/>
        </w:rPr>
        <w:t>сведения о поставщике паспорта безопасности</w:t>
      </w:r>
    </w:p>
    <w:p>
      <w:pPr>
        <w:pStyle w:val="Normal"/>
        <w:keepLines/>
        <w:rPr>
          <w:lang w:val="en-US" w:eastAsia="en-US"/>
        </w:rPr>
      </w:pPr>
      <w:r>
        <w:rPr>
          <w:rFonts w:eastAsia="MS Mincho;MS Gothic"/>
          <w:lang w:val="en-US" w:eastAsia="en-US"/>
        </w:rPr>
        <w:t xml:space="preserve">Производитель: </w:t>
        <w:tab/>
        <w:tab/>
        <w:tab/>
        <w:tab/>
        <w:tab/>
        <w:tab/>
        <w:tab/>
        <w:tab/>
        <w:tab/>
        <w:tab/>
        <w:tab/>
        <w:tab/>
        <w:t xml:space="preserve"> </w:t>
        <w:tab/>
        <w:t xml:space="preserve">Публичное акционерное общество "Куйбышевский Азот"</w:t>
        <w:br/>
        <w:t>6, Новозаводская, Тольятти, Самарская область</w:t>
        <w:br/>
        <w:t>445007-Россия</w:t>
        <w:br/>
        <w:t>Т +7 (8482) 561101, 561301-Ф +7 (8482) 561301</w:t>
        <w:br/>
        <w:t xml:space="preserve">E-mail: </w:t>
      </w:r>
      <w:hyperlink r:id="rId2">
        <w:r>
          <w:rPr>
            <w:rStyle w:val="InternetLink"/>
            <w:rFonts w:eastAsia="MS Mincho;MS Gothic"/>
            <w:color w:val="0000FF"/>
            <w:u w:val="single"/>
            <w:lang w:val="en-US" w:eastAsia="en-US"/>
          </w:rPr>
          <w:t>office@kuazot.ru</w:t>
        </w:r>
      </w:hyperlink>
      <w:r>
        <w:rPr>
          <w:rFonts w:eastAsia="MS Mincho;MS Gothic"/>
          <w:lang w:val="en-US" w:eastAsia="en-US"/>
        </w:rPr>
        <w:tab/>
        <w:tab/>
        <w:tab/>
        <w:tab/>
        <w:tab/>
        <w:tab/>
        <w:tab/>
        <w:tab/>
        <w:tab/>
        <w:tab/>
        <w:tab/>
        <w:t xml:space="preserve"> </w:t>
      </w:r>
      <w:hyperlink r:id="rId3">
        <w:r>
          <w:rPr>
            <w:rStyle w:val="InternetLink"/>
            <w:rFonts w:eastAsia="MS Mincho;MS Gothic"/>
            <w:color w:val="0000FF"/>
            <w:u w:val="single"/>
            <w:lang w:val="en-US" w:eastAsia="en-US"/>
          </w:rPr>
          <w:t>http://www.kuazot.ru/</w:t>
        </w:r>
      </w:hyperlink>
    </w:p>
    <w:p>
      <w:pPr>
        <w:pStyle w:val="Normal"/>
        <w:keepLines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</w:r>
    </w:p>
    <w:p>
      <w:pPr>
        <w:pStyle w:val="Normal"/>
        <w:keepLines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Только представитель:</w:t>
      </w:r>
    </w:p>
    <w:p>
      <w:pPr>
        <w:pStyle w:val="Normal"/>
        <w:keepLines/>
        <w:rPr>
          <w:lang w:val="en-US" w:eastAsia="en-US"/>
        </w:rPr>
      </w:pPr>
      <w:r>
        <w:rPr>
          <w:rFonts w:eastAsia="MS Mincho;MS Gothic"/>
          <w:lang w:val="en-US" w:eastAsia="en-US"/>
        </w:rPr>
        <w:t>ITS Testing Services (UK) Ltd</w:t>
        <w:br/>
        <w:t xml:space="preserve">Caleb Brett House </w:t>
        <w:tab/>
        <w:tab/>
        <w:tab/>
        <w:tab/>
        <w:tab/>
        <w:tab/>
        <w:tab/>
        <w:tab/>
        <w:tab/>
        <w:tab/>
        <w:tab/>
        <w:tab/>
        <w:t xml:space="preserve">734 London Road</w:t>
        <w:tab/>
        <w:tab/>
        <w:tab/>
        <w:tab/>
        <w:tab/>
        <w:tab/>
        <w:tab/>
        <w:tab/>
        <w:tab/>
        <w:tab/>
        <w:tab/>
        <w:tab/>
        <w:tab/>
        <w:t xml:space="preserve"> RM20 3NL-West Thurrock, Grays</w:t>
        <w:tab/>
        <w:tab/>
        <w:tab/>
        <w:tab/>
        <w:tab/>
        <w:tab/>
        <w:tab/>
        <w:tab/>
        <w:tab/>
        <w:tab/>
        <w:tab/>
        <w:t xml:space="preserve"> Essex, Великобритания</w:t>
        <w:br/>
        <w:t>T +44(0)161 228 0111-F +44 (0)161 933 4001</w:t>
        <w:br/>
        <w:t xml:space="preserve">E-mail: </w:t>
      </w:r>
      <w:hyperlink r:id="rId4">
        <w:r>
          <w:rPr>
            <w:rStyle w:val="InternetLink"/>
            <w:rFonts w:eastAsia="MS Mincho;MS Gothic"/>
            <w:color w:val="0000FF"/>
            <w:u w:val="single"/>
            <w:lang w:val="en-US" w:eastAsia="en-US"/>
          </w:rPr>
          <w:t>ies14.reach@intertek.com</w:t>
        </w:r>
      </w:hyperlink>
    </w:p>
    <w:p>
      <w:pPr>
        <w:pStyle w:val="SpacingBeforeSubheading"/>
        <w:rPr>
          <w:lang w:val="en-GB" w:eastAsia="en-US"/>
        </w:rPr>
      </w:pPr>
      <w:r>
        <w:rPr>
          <w:lang w:val="en-GB" w:eastAsia="en-US"/>
        </w:rPr>
      </w:r>
    </w:p>
    <w:p>
      <w:pPr>
        <w:pStyle w:val="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1.4.</w:t>
        <w:tab/>
      </w:r>
      <w:r>
        <w:rPr>
          <w:rFonts w:eastAsia="MS Mincho;MS Gothic"/>
          <w:lang w:val="en-US" w:eastAsia="en-US"/>
        </w:rPr>
        <w:t>номер телефона экстренной связи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/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Номер экстренной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помощи 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/>
              <w:t>+7 (8482) 561101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Heading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2: </w:t>
      </w:r>
      <w:r>
        <w:rPr>
          <w:rFonts w:eastAsia="MS Mincho;MS Gothic"/>
          <w:lang w:val="fr-BE" w:eastAsia="en-US"/>
        </w:rPr>
        <w:t>идентификация опасных факторов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2.1.</w:t>
        <w:tab/>
      </w:r>
      <w:r>
        <w:rPr>
          <w:rFonts w:eastAsia="MS Mincho;MS Gothic"/>
          <w:lang w:val="nl-BE" w:eastAsia="en-US"/>
        </w:rPr>
        <w:t>классификация вещества или смеси</w:t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Классификация в соответствии с Регламентом (ЕС) № 1272/2008 [CLP]</w:t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Не засекречено</w:t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Классификация в соответствии с директивой 67/548 / EEC или 1999/45/EC</w:t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Не засекречено</w:t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ubsubheading"/>
        <w:numPr>
          <w:ilvl w:val="0"/>
          <w:numId w:val="0"/>
        </w:numPr>
        <w:spacing w:before="60" w:after="60"/>
        <w:outlineLvl w:val="0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Неблагоприятное физико-химическое воздействие на здоровье человека и окружающую среду</w:t>
      </w:r>
    </w:p>
    <w:p>
      <w:pPr>
        <w:pStyle w:val="Normal"/>
        <w:rPr>
          <w:rFonts w:eastAsia="MS Mincho;MS Gothic"/>
          <w:lang w:val="fr-BE"/>
        </w:rPr>
      </w:pPr>
      <w:r>
        <w:rPr>
          <w:rFonts w:eastAsia="MS Mincho;MS Gothic"/>
          <w:lang w:val="fr-BE"/>
        </w:rPr>
        <w:t>Дополнительная информация отсутствует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2.2.</w:t>
        <w:tab/>
      </w:r>
      <w:r>
        <w:rPr>
          <w:rFonts w:eastAsia="MS Mincho;MS Gothic"/>
          <w:lang w:val="fr-BE" w:eastAsia="en-US"/>
        </w:rPr>
        <w:t>элементы этикетки</w:t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Маркировка в соответствии с Регламентом (ЕС) № 1272/2008 [CLP]</w:t>
      </w:r>
    </w:p>
    <w:p>
      <w:pPr>
        <w:pStyle w:val="Normal"/>
        <w:rPr>
          <w:rFonts w:eastAsia="MS Mincho;MS Gothic"/>
          <w:lang w:val="fr-BE"/>
        </w:rPr>
      </w:pPr>
      <w:r>
        <w:rPr>
          <w:rFonts w:eastAsia="MS Mincho;MS Gothic"/>
          <w:lang w:val="fr-BE"/>
        </w:rPr>
        <w:t>Маркировка не применяется</w:t>
      </w:r>
    </w:p>
    <w:p>
      <w:pPr>
        <w:pStyle w:val="Normal"/>
        <w:spacing w:before="0" w:after="0"/>
        <w:rPr>
          <w:sz w:val="2"/>
          <w:szCs w:val="2"/>
          <w:lang w:val="fr-BE"/>
        </w:rPr>
      </w:pPr>
      <w:r>
        <w:rPr>
          <w:sz w:val="2"/>
          <w:szCs w:val="2"/>
          <w:lang w:val="fr-BE"/>
        </w:rPr>
      </w:r>
    </w:p>
    <w:p>
      <w:pPr>
        <w:pStyle w:val="SpacingBeforeSubheading"/>
        <w:rPr>
          <w:sz w:val="2"/>
          <w:szCs w:val="2"/>
          <w:lang w:val="en-GB"/>
        </w:rPr>
      </w:pPr>
      <w:r>
        <w:rPr>
          <w:sz w:val="2"/>
          <w:szCs w:val="2"/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2.3.</w:t>
        <w:tab/>
      </w:r>
      <w:r>
        <w:rPr>
          <w:rFonts w:eastAsia="MS Mincho;MS Gothic"/>
          <w:lang w:val="fr-BE" w:eastAsia="en-US"/>
        </w:rPr>
        <w:t>другие опасности</w:t>
      </w:r>
    </w:p>
    <w:p>
      <w:pPr>
        <w:pStyle w:val="Normal"/>
        <w:rPr>
          <w:rFonts w:eastAsia="MS Mincho;MS Gothic"/>
          <w:lang w:val="fr-BE"/>
        </w:rPr>
      </w:pPr>
      <w:r>
        <w:rPr>
          <w:rFonts w:eastAsia="MS Mincho;MS Gothic"/>
          <w:lang w:val="fr-BE"/>
        </w:rPr>
        <w:t>Дополнительная информация отсутствует</w:t>
      </w:r>
    </w:p>
    <w:p>
      <w:pPr>
        <w:pStyle w:val="Heading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3: </w:t>
      </w:r>
      <w:r>
        <w:rPr>
          <w:rFonts w:eastAsia="MS Mincho;MS Gothic"/>
          <w:lang w:val="fr-BE" w:eastAsia="en-US"/>
        </w:rPr>
        <w:t>Состав / информация об ингредиентах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3.1.</w:t>
        <w:tab/>
      </w:r>
      <w:r>
        <w:rPr>
          <w:rFonts w:eastAsia="MS Mincho;MS Gothic"/>
          <w:lang w:val="en-US" w:eastAsia="en-US"/>
        </w:rPr>
        <w:t>вещества</w:t>
      </w:r>
    </w:p>
    <w:tbl>
      <w:tblPr>
        <w:tblW w:type="dxa" w:w="10500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insideH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4111"/>
        <w:gridCol w:w="2835"/>
        <w:gridCol w:w="1134"/>
        <w:gridCol w:w="2420"/>
      </w:tblGrid>
      <w:tr>
        <w:trPr>
          <w:tblHeader w:val="true"/>
          <w:cantSplit w:val="true"/>
        </w:trPr>
        <w:tc>
          <w:tcPr>
            <w:tcW w:type="dxa" w:w="4111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Имя</w:t>
            </w:r>
          </w:p>
        </w:tc>
        <w:tc>
          <w:tcPr>
            <w:tcW w:type="dxa" w:w="2835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Наименование идентификатор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</w:rPr>
              <w:t>продукта %</w:t>
            </w:r>
          </w:p>
        </w:tc>
        <w:tc>
          <w:tcPr>
            <w:tcW w:type="dxa" w:w="24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классификация в соответствии с директивой 67/548 / EEC</w:t>
            </w:r>
          </w:p>
        </w:tc>
      </w:tr>
      <w:tr>
        <w:trPr>
          <w:cantSplit w:val="true"/>
        </w:trPr>
        <w:tc>
          <w:tcPr>
            <w:tcW w:type="dxa" w:w="4111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сульфат аммония</w:t>
            </w:r>
          </w:p>
        </w:tc>
        <w:tc>
          <w:tcPr>
            <w:tcW w:type="dxa" w:w="2835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CAS No.</w:t>
            </w:r>
            <w:r>
              <w:rPr>
                <w:rFonts w:eastAsia="MS Mincho;MS Gothic"/>
                <w:sz w:val="12"/>
                <w:szCs w:val="12"/>
              </w:rPr>
              <w:t>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7783-20-2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EC no</w:t>
            </w:r>
            <w:r>
              <w:rPr>
                <w:rFonts w:eastAsia="MS Mincho;MS Gothic"/>
                <w:sz w:val="12"/>
                <w:szCs w:val="12"/>
              </w:rPr>
              <w:t>.)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231-984-1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REACH-no</w:t>
            </w:r>
            <w:r>
              <w:rPr>
                <w:rFonts w:eastAsia="MS Mincho;MS Gothic"/>
                <w:sz w:val="12"/>
                <w:szCs w:val="12"/>
              </w:rPr>
              <w:t>.)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01-2119455044-46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100</w:t>
            </w:r>
          </w:p>
        </w:tc>
        <w:tc>
          <w:tcPr>
            <w:tcW w:type="dxa" w:w="24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не классифицирован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type="dxa" w:w="10500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insideH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4111"/>
        <w:gridCol w:w="2835"/>
        <w:gridCol w:w="1134"/>
        <w:gridCol w:w="2420"/>
      </w:tblGrid>
      <w:tr>
        <w:trPr>
          <w:tblHeader w:val="true"/>
          <w:cantSplit w:val="true"/>
        </w:trPr>
        <w:tc>
          <w:tcPr>
            <w:tcW w:type="dxa" w:w="4111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Имя</w:t>
            </w:r>
          </w:p>
        </w:tc>
        <w:tc>
          <w:tcPr>
            <w:tcW w:type="dxa" w:w="2835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Наименование идентификатор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</w:rPr>
              <w:t>продукта %</w:t>
            </w:r>
          </w:p>
        </w:tc>
        <w:tc>
          <w:tcPr>
            <w:tcW w:type="dxa" w:w="24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классификация в соответствии с Регламентом (ЕС) № 1272/2008 [CLP]</w:t>
            </w:r>
          </w:p>
        </w:tc>
      </w:tr>
      <w:tr>
        <w:trPr>
          <w:cantSplit w:val="true"/>
        </w:trPr>
        <w:tc>
          <w:tcPr>
            <w:tcW w:type="dxa" w:w="4111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сульфат аммония</w:t>
            </w:r>
          </w:p>
        </w:tc>
        <w:tc>
          <w:tcPr>
            <w:tcW w:type="dxa" w:w="2835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CAS No.</w:t>
            </w:r>
            <w:r>
              <w:rPr>
                <w:rFonts w:eastAsia="MS Mincho;MS Gothic"/>
                <w:sz w:val="12"/>
                <w:szCs w:val="12"/>
              </w:rPr>
              <w:t>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7783-20-2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EC no</w:t>
            </w:r>
            <w:r>
              <w:rPr>
                <w:rFonts w:eastAsia="MS Mincho;MS Gothic"/>
                <w:sz w:val="12"/>
                <w:szCs w:val="12"/>
              </w:rPr>
              <w:t>.)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231-984-1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sz w:val="12"/>
                <w:szCs w:val="12"/>
              </w:rPr>
              <w:t>(</w:t>
            </w:r>
            <w:r>
              <w:rPr>
                <w:rFonts w:eastAsia="MS Mincho;MS Gothic"/>
                <w:sz w:val="12"/>
                <w:szCs w:val="12"/>
                <w:lang w:val="en-US" w:eastAsia="en-US"/>
              </w:rPr>
              <w:t>REACH-no</w:t>
            </w:r>
            <w:r>
              <w:rPr>
                <w:rFonts w:eastAsia="MS Mincho;MS Gothic"/>
                <w:sz w:val="12"/>
                <w:szCs w:val="12"/>
              </w:rPr>
              <w:t>.)</w:t>
            </w:r>
            <w:r>
              <w:rPr>
                <w:rFonts w:eastAsia="MS Mincho;MS Gothic"/>
              </w:rPr>
              <w:t xml:space="preserve"> </w:t>
            </w:r>
            <w:r>
              <w:rPr>
                <w:rFonts w:eastAsia="MS Mincho;MS Gothic"/>
                <w:sz w:val="14"/>
                <w:szCs w:val="14"/>
                <w:lang w:val="en-US" w:eastAsia="en-US"/>
              </w:rPr>
              <w:t>01-2119455044-46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100</w:t>
            </w:r>
          </w:p>
        </w:tc>
        <w:tc>
          <w:tcPr>
            <w:tcW w:type="dxa" w:w="24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rFonts w:eastAsia="MS Mincho;MS Gothic"/>
                <w:sz w:val="14"/>
                <w:szCs w:val="14"/>
                <w:lang w:val="en-US" w:eastAsia="en-US"/>
              </w:rPr>
              <w:t>не классифицирован</w:t>
            </w:r>
          </w:p>
        </w:tc>
      </w:tr>
    </w:tbl>
    <w:p>
      <w:pPr>
        <w:pStyle w:val="Normal"/>
        <w:spacing w:before="60" w:after="60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Полный текст R -, H-и EUH-фраз: см. раздел 16.</w:t>
      </w:r>
    </w:p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3.2.</w:t>
        <w:tab/>
      </w:r>
      <w:r>
        <w:rPr>
          <w:rFonts w:eastAsia="MS Mincho;MS Gothic"/>
          <w:lang w:val="en-US" w:eastAsia="en-US"/>
        </w:rPr>
        <w:t>смеси</w:t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Непригодный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4: </w:t>
      </w:r>
      <w:r>
        <w:rPr>
          <w:rFonts w:eastAsia="MS Mincho;MS Gothic"/>
          <w:lang w:val="fr-BE" w:eastAsia="en-US"/>
        </w:rPr>
        <w:t>меры первой помощи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4.1.</w:t>
        <w:tab/>
      </w:r>
      <w:r>
        <w:rPr>
          <w:rFonts w:eastAsia="MS Mincho;MS Gothic"/>
          <w:lang w:eastAsia="en-US"/>
        </w:rPr>
        <w:t>описание мероприятий по оказанию первой медицинской помощи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Общие меры первой помощи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немедленно снимите загрязненную одежду.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первой помощи после вдоха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выйти на свежий воздух. Если не дышите, сделайте искусственное дыхание. Если дыхание затруднено, дайте кислород. Обратитесь за медицинской помощью.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первой помощи после контакта с кожей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немедленно промыть большим количеством воды (не менее 15 минут). Промыть водой с мылом. Снимите загрязненную одежду и обувь. Обратитесь за медицинской помощью. Вымойте одежду перед повторным использованием. Тщательно очистите обувь перед повторным использованием.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первой помощи после контакта с глазами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немедленно тщательно промойте глаза водой в течение не менее 15 минут. Часто втягивайте веки. Немедленно обратитесь за медицинской помощью.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первой помощи после приема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внутрь: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при проглатывании прополоскать рот водой (только если человек находится в сознании). Никогда не давайте ничего ртом человеку, находящемуся без сознания. Обратитесь к врачу/медицинской службе, если вы чувствуете себя плохо.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4.2.</w:t>
        <w:tab/>
      </w:r>
      <w:r>
        <w:rPr>
          <w:rFonts w:eastAsia="MS Mincho;MS Gothic"/>
          <w:lang w:val="en-US" w:eastAsia="en-US"/>
        </w:rPr>
        <w:t>наиболее важные симптомы и эффекты, как острые, так и отсроченные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Симптомы / травмы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раздражает глаза и дыхательную систему. Может вызвать раздражение кожи.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Симптомы / травмы после вдыхания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вдыхание пыли может вызвать раздражение дыхательной системы. Вдыхание может вызвать: раздражение, кашель, одышку.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Симптомы / травмы после контакта с кожей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может вызвать раздражение кожи. раздражение (зуд, покраснение, волдыри). Длительные или повторные контакты с кожей могут вызвать дерматит.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Симптомы / травмы после контакта с глазами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может вызвать раздражение глаз. покраснение, боль, легкое раздражение глаз.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Симптомы / травмы после приема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внутрь: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может вызвать раздражение желудочно-кишечного тракта, тошноту, рвоту и диарею.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Хронические симптомы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необратимое повреждение глаз. При проглатывании может вызвать повреждение легких.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4.3.</w:t>
        <w:tab/>
      </w:r>
      <w:r>
        <w:rPr>
          <w:rFonts w:eastAsia="MS Mincho;MS Gothic"/>
          <w:lang w:val="fr-BE" w:eastAsia="en-US"/>
        </w:rPr>
        <w:t>указание на необходимость немедленной медицинской помощи и специального лечения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Риск развития: отек легких. Симптомы могут быть отсрочены. Необходимо специфическое лечение. Профилактика отека легких.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5: </w:t>
      </w:r>
      <w:r>
        <w:rPr>
          <w:rFonts w:eastAsia="MS Mincho;MS Gothic"/>
          <w:lang w:val="fr-BE" w:eastAsia="en-US"/>
        </w:rPr>
        <w:t>противопожарные мероприятия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5.1.</w:t>
        <w:tab/>
      </w:r>
      <w:r>
        <w:rPr>
          <w:rFonts w:eastAsia="MS Mincho;MS Gothic"/>
          <w:lang w:eastAsia="en-US"/>
        </w:rPr>
        <w:t>средства пожаротушения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Подходящие средства пожаротушения: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для небольшого пожара: углекислый газ. Порошок. Брызги воды. Для большого пожара: брызги воды. Спиртостойкая пена.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Неподходящие средства пожаротушения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неизвестны.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5.2.</w:t>
        <w:tab/>
      </w:r>
      <w:r>
        <w:rPr>
          <w:rFonts w:eastAsia="MS Mincho;MS Gothic"/>
          <w:lang w:eastAsia="en-US"/>
        </w:rPr>
        <w:t>особые опасности, связанные с веществом или смесью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Пожароопасность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при нормальных условиях эксплуатации не ожидается возникновения пожаро-взрывоопасности. В случае пожара его можно выпустить. Газообразный аммиак.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взрывоопасность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взрывчатое вещество при смешивании с окисляющими веществами.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реактивность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данные отсутствуют.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5.3.</w:t>
        <w:tab/>
      </w:r>
      <w:r>
        <w:rPr>
          <w:rFonts w:eastAsia="MS Mincho;MS Gothic"/>
          <w:lang w:eastAsia="en-US"/>
        </w:rPr>
        <w:t>рекомендации для пожарных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предосторожности при пожаре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используйте средства пожаротушения, соответствующие окружающему огню.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Защитное снаряжение для пожарных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используйте автономный дыхательный аппарат и химически защитную одежду.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Другая информация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остатки огня и загрязненная огнетушащая вода должны быть утилизированы в соответствии с местными правилами.</w:t>
            </w:r>
          </w:p>
        </w:tc>
      </w:tr>
    </w:tbl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6: </w:t>
      </w:r>
      <w:r>
        <w:rPr>
          <w:rFonts w:eastAsia="MS Mincho;MS Gothic"/>
          <w:lang w:val="fr-BE" w:eastAsia="en-US"/>
        </w:rPr>
        <w:t>меры по аварийному высвобождению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6.1.</w:t>
        <w:tab/>
      </w:r>
      <w:r>
        <w:rPr>
          <w:rFonts w:eastAsia="MS Mincho;MS Gothic"/>
          <w:lang w:eastAsia="en-US"/>
        </w:rPr>
        <w:t>личные меры предосторожности, средства защиты и аварийные процедуры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Общие меры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механически проветрить зону разлива. Для получения дополнительной информации обратитесь к разделу 8: воздействие-контроль/личная защита"".</w:t>
            </w:r>
          </w:p>
        </w:tc>
      </w:tr>
    </w:tbl>
    <w:p>
      <w:pPr>
        <w:pStyle w:val="Sub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6.1.1.</w:t>
        <w:tab/>
      </w:r>
      <w:r>
        <w:rPr>
          <w:rFonts w:eastAsia="MS Mincho;MS Gothic"/>
          <w:lang w:val="en-US" w:eastAsia="en-US"/>
        </w:rPr>
        <w:t>для неаварийного персонала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Средства защиты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см. раздел 8.</w:t>
            </w:r>
          </w:p>
        </w:tc>
      </w:tr>
    </w:tbl>
    <w:p>
      <w:pPr>
        <w:pStyle w:val="Subsubheading"/>
        <w:rPr>
          <w:rFonts w:eastAsia="MS Mincho;MS Gothic"/>
        </w:rPr>
      </w:pPr>
      <w:r>
        <w:rPr>
          <w:rFonts w:eastAsia="MS Mincho;MS Gothic"/>
        </w:rPr>
        <w:t>6.1.2.</w:t>
        <w:tab/>
      </w:r>
      <w:r>
        <w:rPr>
          <w:rFonts w:eastAsia="MS Mincho;MS Gothic"/>
          <w:lang w:val="en-US" w:eastAsia="en-US"/>
        </w:rPr>
        <w:t>для аварийно-спасательных служб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Средства защиты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см. раздел 8.</w:t>
            </w:r>
          </w:p>
        </w:tc>
      </w:tr>
    </w:tbl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6.2.</w:t>
        <w:tab/>
      </w:r>
      <w:r>
        <w:rPr>
          <w:rFonts w:eastAsia="MS Mincho;MS Gothic"/>
          <w:lang w:val="fr-BE" w:eastAsia="en-US"/>
        </w:rPr>
        <w:t>меры предосторожности в отношении окружающей среды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Избегайте попадания в окружающую среду. Не допускайте проникновения в канализацию и общественные воды.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6.3.</w:t>
        <w:tab/>
      </w:r>
      <w:r>
        <w:rPr>
          <w:rFonts w:eastAsia="MS Mincho;MS Gothic"/>
          <w:lang w:eastAsia="en-US"/>
        </w:rPr>
        <w:t>методы и материалы для локализации и очистки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Методы очистки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обеспечить достаточную вентиляцию. Подметите или сгребите разливы в соответствующий контейнер для утилизации. Разбавьте остаток водой.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/>
        </w:rPr>
        <w:t>6.4.</w:t>
        <w:tab/>
      </w:r>
      <w:r>
        <w:rPr>
          <w:rFonts w:eastAsia="MS Mincho;MS Gothic"/>
          <w:lang w:val="fr-BE" w:eastAsia="en-US"/>
        </w:rPr>
        <w:t>ссылка на другие разделы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См. разделы 8 и 13.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7: </w:t>
      </w:r>
      <w:r>
        <w:rPr>
          <w:rFonts w:eastAsia="MS Mincho;MS Gothic"/>
          <w:lang w:val="fr-BE" w:eastAsia="en-US"/>
        </w:rPr>
        <w:t>обработка и хранение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7.1.</w:t>
        <w:tab/>
      </w:r>
      <w:r>
        <w:rPr>
          <w:rFonts w:eastAsia="MS Mincho;MS Gothic"/>
          <w:lang w:val="nl-BE" w:eastAsia="en-US"/>
        </w:rPr>
        <w:t>меры предосторожности при безопасном обращении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Меры предосторожности для безопасного обращения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обеспечьте достаточную вентиляцию. Избегайте образования или распространения пыли. Избегайте контакта с кожей и глазами. Избегайте вдыхания продукта. См. раздел 8.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гигиенические меры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обращаться в соответствии с надлежащей практикой промышленной гигиены и техники безопасности. Всегда мойте руки и лицо сразу после обращения с этим продуктом и еще раз перед уходом с рабочего места. Снимите всю загрязненную одежду и обувь. Перед повторным использованием вымойте загрязненную одежду. Избегайте контакта с кожей и глазами.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7.2.</w:t>
        <w:tab/>
      </w:r>
      <w:r>
        <w:rPr>
          <w:rFonts w:eastAsia="MS Mincho;MS Gothic"/>
          <w:lang w:eastAsia="en-US"/>
        </w:rPr>
        <w:t>условия безопасного хранения, включая любые несовместимости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Условия хранения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держите контейнер плотно закрытым в прохладном, хорошо проветриваемом месте. Защитите контейнеры от повреждений. Хранить отдельно от окислителей и сильно щелочных и сильно кислых материалов. держитесь подальше от несовместимых материалов. См. раздел 10 о несовместимых материалах.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7.3.</w:t>
        <w:tab/>
      </w:r>
      <w:r>
        <w:rPr>
          <w:rFonts w:eastAsia="MS Mincho;MS Gothic"/>
          <w:lang w:val="en-US" w:eastAsia="en-US"/>
        </w:rPr>
        <w:t>специфическое конечное использование(Ы)</w:t>
      </w:r>
    </w:p>
    <w:p>
      <w:pPr>
        <w:pStyle w:val="Normal"/>
        <w:rPr>
          <w:rFonts w:eastAsia="MS Mincho;MS Gothic"/>
        </w:rPr>
      </w:pPr>
      <w:r>
        <w:rPr>
          <w:rFonts w:eastAsia="MS Mincho;MS Gothic"/>
        </w:rPr>
        <w:t>Дополнительная информация отсутствует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8: </w:t>
      </w:r>
      <w:r>
        <w:rPr>
          <w:rFonts w:eastAsia="MS Mincho;MS Gothic"/>
          <w:lang w:val="fr-BE" w:eastAsia="en-US"/>
        </w:rPr>
        <w:t>контроль воздействия / личная защита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8.1.</w:t>
        <w:tab/>
      </w:r>
      <w:r>
        <w:rPr>
          <w:rFonts w:eastAsia="MS Mincho;MS Gothic"/>
          <w:lang w:val="nl-BE" w:eastAsia="en-US"/>
        </w:rPr>
        <w:t>контрольные параметры</w:t>
      </w:r>
    </w:p>
    <w:tbl>
      <w:tblPr>
        <w:tblW w:type="dxa" w:w="10500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2270"/>
        <w:gridCol w:w="4110"/>
        <w:gridCol w:w="4120"/>
      </w:tblGrid>
      <w:tr>
        <w:trPr>
          <w:tblHeader w:val="true"/>
          <w:cantSplit w:val="true"/>
        </w:trPr>
        <w:tc>
          <w:tcPr>
            <w:tcW w:type="dxa" w:w="10500"/>
            <w:gridSpan w:val="3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>, гранулированный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227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Германия</w:t>
            </w:r>
          </w:p>
        </w:tc>
        <w:tc>
          <w:tcPr>
            <w:tcW w:type="dxa" w:w="411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TRGS 900 предельное значение профессионального воздействия (мг/м3)</w:t>
            </w:r>
          </w:p>
        </w:tc>
        <w:tc>
          <w:tcPr>
            <w:tcW w:type="dxa" w:w="41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10 мг/м3</w:t>
            </w:r>
          </w:p>
        </w:tc>
      </w:tr>
      <w:tr>
        <w:trPr>
          <w:cantSplit w:val="true"/>
        </w:trPr>
        <w:tc>
          <w:tcPr>
            <w:tcW w:type="dxa" w:w="227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Нидерланды</w:t>
            </w:r>
          </w:p>
        </w:tc>
        <w:tc>
          <w:tcPr>
            <w:tcW w:type="dxa" w:w="411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MAC TGG 8H (мг/м3)</w:t>
            </w:r>
          </w:p>
        </w:tc>
        <w:tc>
          <w:tcPr>
            <w:tcW w:type="dxa" w:w="41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10 мг/м3</w:t>
            </w:r>
          </w:p>
        </w:tc>
      </w:tr>
      <w:tr>
        <w:trPr>
          <w:cantSplit w:val="true"/>
        </w:trPr>
        <w:tc>
          <w:tcPr>
            <w:tcW w:type="dxa" w:w="227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Великобритания</w:t>
            </w:r>
          </w:p>
        </w:tc>
        <w:tc>
          <w:tcPr>
            <w:tcW w:type="dxa" w:w="411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WEL TWA (мг/м3)</w:t>
            </w:r>
          </w:p>
        </w:tc>
        <w:tc>
          <w:tcPr>
            <w:tcW w:type="dxa" w:w="4120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10 мг/м3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ubheading"/>
        <w:rPr/>
      </w:pPr>
      <w:r>
        <w:rPr/>
        <w:t>DNEL/PNEC</w:t>
      </w:r>
    </w:p>
    <w:p>
      <w:pPr>
        <w:pStyle w:val="Normal"/>
        <w:rPr>
          <w:color w:val="000000"/>
          <w:sz w:val="4"/>
          <w:szCs w:val="4"/>
          <w:lang w:val="fr-BE" w:eastAsia="fr-BE"/>
        </w:rPr>
      </w:pPr>
      <w:r>
        <w:rPr>
          <w:color w:val="000000"/>
          <w:sz w:val="4"/>
          <w:szCs w:val="4"/>
          <w:lang w:val="fr-BE" w:eastAsia="fr-BE"/>
        </w:rPr>
      </w:r>
    </w:p>
    <w:tbl>
      <w:tblPr>
        <w:tblW w:type="dxa" w:w="10500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insideH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1134"/>
        <w:gridCol w:w="1276"/>
        <w:gridCol w:w="1134"/>
        <w:gridCol w:w="1418"/>
        <w:gridCol w:w="2126"/>
        <w:gridCol w:w="1134"/>
        <w:gridCol w:w="2278"/>
      </w:tblGrid>
      <w:tr>
        <w:trPr>
          <w:tblHeader w:val="true"/>
          <w:trHeight w:val="91" w:hRule="atLeast"/>
          <w:cantSplit w:val="true"/>
        </w:trPr>
        <w:tc>
          <w:tcPr>
            <w:tcW w:type="dxa" w:w="3544"/>
            <w:gridSpan w:val="3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lang w:val="en-US" w:eastAsia="en-US"/>
              </w:rPr>
              <w:t>Значения dnel/ДМЭЛ</w:t>
            </w:r>
            <w:r>
              <w:rPr>
                <w:rFonts w:eastAsia="MS Mincho;MS Gothic"/>
                <w:b/>
                <w:bCs/>
                <w:lang w:val="en-US" w:eastAsia="en-US"/>
              </w:rPr>
              <w:tab/>
            </w:r>
          </w:p>
        </w:tc>
        <w:tc>
          <w:tcPr>
            <w:tcW w:type="dxa" w:w="141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воздействия пути</w:t>
            </w:r>
          </w:p>
        </w:tc>
        <w:tc>
          <w:tcPr>
            <w:tcW w:type="dxa" w:w="2126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воздействия частоты</w:t>
            </w:r>
          </w:p>
        </w:tc>
        <w:tc>
          <w:tcPr>
            <w:tcW w:type="dxa" w:w="1134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важнейшим компонентом</w:t>
            </w:r>
          </w:p>
        </w:tc>
        <w:tc>
          <w:tcPr>
            <w:tcW w:type="dxa" w:w="227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замечание</w:t>
            </w:r>
          </w:p>
        </w:tc>
      </w:tr>
      <w:tr>
        <w:trPr>
          <w:tblHeader w:val="true"/>
          <w:trHeight w:val="91" w:hRule="atLeast"/>
          <w:cantSplit w:val="true"/>
        </w:trPr>
        <w:tc>
          <w:tcPr>
            <w:tcW w:type="dxa" w:w="2410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работнику</w:t>
            </w:r>
          </w:p>
        </w:tc>
        <w:tc>
          <w:tcPr>
            <w:tcW w:type="dxa" w:w="1134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потребительскими</w:t>
            </w:r>
          </w:p>
        </w:tc>
        <w:tc>
          <w:tcPr>
            <w:tcW w:type="dxa" w:w="141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</w:r>
          </w:p>
        </w:tc>
        <w:tc>
          <w:tcPr>
            <w:tcW w:type="dxa" w:w="2126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blHeader w:val="true"/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промышленности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профессиональный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tabs>
                <w:tab w:val="center" w:pos="1947" w:leader="none"/>
              </w:tabs>
              <w:snapToGrid w:val="false"/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</w:r>
          </w:p>
        </w:tc>
        <w:tc>
          <w:tcPr>
            <w:tcW w:type="dxa" w:w="141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rFonts w:eastAsia="MS Mincho;MS Gothic"/>
                <w:b/>
                <w:b/>
                <w:bCs/>
                <w:lang w:val="en-US" w:eastAsia="en-US"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</w:r>
          </w:p>
        </w:tc>
        <w:tc>
          <w:tcPr>
            <w:tcW w:type="dxa" w:w="2126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</w:tcPr>
          <w:p>
            <w:pPr>
              <w:pStyle w:val="Normal"/>
              <w:keepNext/>
              <w:snapToGrid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41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Cs w:val="14"/>
              </w:rPr>
            </w:pPr>
            <w:r>
              <w:rPr>
                <w:szCs w:val="14"/>
              </w:rPr>
              <w:t>устный</w:t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краткосрочного (острого)</w:t>
            </w:r>
          </w:p>
        </w:tc>
        <w:tc>
          <w:tcPr>
            <w:tcW w:type="dxa" w:w="1134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227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autoSpaceDE w:val="false"/>
              <w:spacing w:before="0"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нет</w:t>
            </w:r>
          </w:p>
        </w:tc>
      </w:tr>
      <w:tr>
        <w:trPr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6.4 мг/кг массы тела/сутки</w:t>
            </w:r>
          </w:p>
        </w:tc>
        <w:tc>
          <w:tcPr>
            <w:tcW w:type="dxa" w:w="141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долгосрочное (неоднократное)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</w:r>
          </w:p>
        </w:tc>
      </w:tr>
      <w:tr>
        <w:trPr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2"/>
                <w:szCs w:val="12"/>
                <w:lang w:val="nl-BE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2"/>
                <w:szCs w:val="12"/>
                <w:lang w:val="nl-BE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41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Cs w:val="12"/>
                <w:lang w:val="nl-BE"/>
              </w:rPr>
            </w:pPr>
            <w:r>
              <w:rPr>
                <w:szCs w:val="12"/>
                <w:lang w:val="nl-BE"/>
              </w:rPr>
              <w:t>дермальный</w:t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краткосрочного (острого)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sz w:val="14"/>
                <w:szCs w:val="14"/>
                <w:lang w:val="nl-BE" w:eastAsia="en-US"/>
              </w:rPr>
            </w:pPr>
            <w:r>
              <w:rPr>
                <w:color w:val="000000"/>
                <w:sz w:val="14"/>
                <w:szCs w:val="14"/>
                <w:lang w:val="nl-BE" w:eastAsia="en-US"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</w:r>
          </w:p>
        </w:tc>
      </w:tr>
      <w:tr>
        <w:trPr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42.67 мг/кг веса тела/день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2"/>
                <w:szCs w:val="12"/>
                <w:lang w:val="nl-BE"/>
              </w:rPr>
            </w:pPr>
            <w:r>
              <w:rPr>
                <w:sz w:val="14"/>
                <w:szCs w:val="14"/>
              </w:rPr>
              <w:t>П/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12.8 мг/кг веса тела/сутки</w:t>
            </w:r>
          </w:p>
        </w:tc>
        <w:tc>
          <w:tcPr>
            <w:tcW w:type="dxa" w:w="141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длительный срок (повторно)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</w:r>
          </w:p>
        </w:tc>
      </w:tr>
      <w:tr>
        <w:trPr>
          <w:trHeight w:val="91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2"/>
                <w:szCs w:val="12"/>
                <w:lang w:val="nl-BE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418"/>
            <w:vMerge w:val="restart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Cs w:val="12"/>
                <w:lang w:val="nl-BE"/>
              </w:rPr>
            </w:pPr>
            <w:r>
              <w:rPr>
                <w:szCs w:val="12"/>
                <w:lang w:val="nl-BE"/>
              </w:rPr>
              <w:t>ингаляции</w:t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краткосрочного (острого)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sz w:val="14"/>
                <w:szCs w:val="14"/>
                <w:lang w:val="nl-BE" w:eastAsia="en-US"/>
              </w:rPr>
            </w:pPr>
            <w:r>
              <w:rPr>
                <w:color w:val="000000"/>
                <w:sz w:val="14"/>
                <w:szCs w:val="14"/>
                <w:lang w:val="nl-BE" w:eastAsia="en-US"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</w:r>
          </w:p>
        </w:tc>
      </w:tr>
      <w:tr>
        <w:trPr>
          <w:trHeight w:val="44" w:hRule="atLeast"/>
          <w:cantSplit w:val="true"/>
        </w:trPr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11.17 мг/м3</w:t>
            </w:r>
          </w:p>
        </w:tc>
        <w:tc>
          <w:tcPr>
            <w:tcW w:type="dxa" w:w="12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sz w:val="12"/>
                <w:szCs w:val="12"/>
                <w:lang w:val="nl-BE"/>
              </w:rPr>
            </w:pPr>
            <w:r>
              <w:rPr>
                <w:sz w:val="14"/>
                <w:szCs w:val="14"/>
              </w:rPr>
              <w:t>н/д</w:t>
            </w:r>
          </w:p>
        </w:tc>
        <w:tc>
          <w:tcPr>
            <w:tcW w:type="dxa" w:w="1134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1.67 мг/M3</w:t>
            </w:r>
          </w:p>
        </w:tc>
        <w:tc>
          <w:tcPr>
            <w:tcW w:type="dxa" w:w="141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</w:r>
          </w:p>
        </w:tc>
        <w:tc>
          <w:tcPr>
            <w:tcW w:type="dxa" w:w="212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долгосрочное (неоднократное)</w:t>
            </w:r>
          </w:p>
        </w:tc>
        <w:tc>
          <w:tcPr>
            <w:tcW w:type="dxa" w:w="1134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</w:r>
          </w:p>
        </w:tc>
        <w:tc>
          <w:tcPr>
            <w:tcW w:type="dxa" w:w="2278"/>
            <w:vMerge w:val="continue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type="dxa" w:w="6005"/>
        <w:jc w:val="start"/>
        <w:tblInd w:type="dxa" w:w="40"/>
        <w:tblBorders>
          <w:top w:val="single" w:space="0" w:color="3366FF" w:sz="4"/>
          <w:start w:val="single" w:space="0" w:color="3366FF" w:sz="4"/>
          <w:bottom w:val="single" w:space="0" w:color="3366FF" w:sz="4"/>
          <w:end w:val="single" w:space="0" w:color="3366FF" w:sz="4"/>
          <w:insideH w:val="single" w:space="0" w:color="3366FF" w:sz="4"/>
          <w:insideV w:val="single" w:space="0" w:color="3366FF" w:sz="4"/>
        </w:tblBorders>
        <w:tblCellMar>
          <w:top w:type="dxa" w:w="40"/>
          <w:start w:type="dxa" w:w="35"/>
          <w:bottom w:type="dxa" w:w="40"/>
          <w:end w:type="dxa" w:w="40"/>
        </w:tblCellMar>
      </w:tblPr>
      <w:tblGrid>
        <w:gridCol w:w="6005"/>
      </w:tblGrid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/>
            </w:pPr>
            <w:bookmarkStart w:id="0" w:name="d0e9916"/>
            <w:r>
              <w:rPr>
                <w:bCs/>
                <w:color w:val="000000"/>
                <w:szCs w:val="24"/>
                <w:lang w:val="en-US"/>
              </w:rPr>
              <w:t xml:space="preserve">ПБК Аква (с пресной водой): </w:t>
            </w: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0.312 </w:t>
            </w:r>
            <w:bookmarkEnd w:id="0"/>
            <w:r>
              <w:rPr>
                <w:bCs/>
                <w:color w:val="000000"/>
                <w:szCs w:val="24"/>
                <w:lang w:val="en-US"/>
              </w:rPr>
              <w:t>мг/л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/>
            </w:pPr>
            <w:bookmarkStart w:id="1" w:name="d0e9943"/>
            <w:r>
              <w:rPr>
                <w:bCs/>
                <w:color w:val="000000"/>
                <w:szCs w:val="24"/>
                <w:lang w:val="en-US"/>
              </w:rPr>
              <w:t xml:space="preserve">ПКБВ Аква (морская вода): </w:t>
            </w: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0.0312 </w:t>
            </w:r>
            <w:bookmarkEnd w:id="1"/>
            <w:r>
              <w:rPr>
                <w:bCs/>
                <w:color w:val="000000"/>
                <w:szCs w:val="24"/>
                <w:lang w:val="en-US"/>
              </w:rPr>
              <w:t>мг/л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/>
            </w:pPr>
            <w:bookmarkStart w:id="2" w:name="d0e9969"/>
            <w:r>
              <w:rPr>
                <w:bCs/>
                <w:color w:val="000000"/>
                <w:szCs w:val="24"/>
                <w:lang w:val="en-US"/>
              </w:rPr>
              <w:t xml:space="preserve">ПКБВ Аква (периодические выпуски): </w:t>
            </w: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0.53 </w:t>
            </w:r>
            <w:bookmarkEnd w:id="2"/>
            <w:r>
              <w:rPr>
                <w:bCs/>
                <w:color w:val="000000"/>
                <w:szCs w:val="24"/>
                <w:lang w:val="en-US"/>
              </w:rPr>
              <w:t>мг/л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>
                <w:szCs w:val="24"/>
              </w:rPr>
            </w:pPr>
            <w:r>
              <w:rPr/>
              <w:t>ПКБВ для завода по обработке нечистот: 16.18 мг/л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>
                <w:bCs/>
                <w:color w:val="000000"/>
                <w:szCs w:val="24"/>
                <w:lang w:val="en-US"/>
              </w:rPr>
            </w:pPr>
            <w:r>
              <w:rPr/>
              <w:t xml:space="preserve">показателя pnec осадок: </w:t>
            </w:r>
            <w:r>
              <w:rPr>
                <w:rFonts w:cs="Times New Roman"/>
                <w:bCs/>
                <w:color w:val="000000"/>
                <w:szCs w:val="24"/>
                <w:lang w:eastAsia="zh-CN"/>
              </w:rPr>
              <w:t xml:space="preserve">0.063 </w:t>
            </w:r>
            <w:r>
              <w:rPr/>
              <w:t>мг/л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/>
              <w:t>показателя pnec почва: 62.6 мг/кг почвы ДГ</w:t>
            </w:r>
          </w:p>
        </w:tc>
      </w:tr>
      <w:tr>
        <w:trPr/>
        <w:tc>
          <w:tcPr>
            <w:tcW w:type="dxa" w:w="6005"/>
            <w:tcBorders>
              <w:top w:val="single" w:space="0" w:color="3366FF" w:sz="4"/>
              <w:start w:val="single" w:space="0" w:color="3366FF" w:sz="4"/>
              <w:bottom w:val="single" w:space="0" w:color="3366FF" w:sz="4"/>
              <w:end w:val="single" w:space="0" w:color="3366FF" w:sz="4"/>
              <w:insideH w:val="single" w:space="0" w:color="3366FF" w:sz="4"/>
              <w:insideV w:val="single" w:space="0" w:color="3366FF" w:sz="4"/>
            </w:tcBorders>
            <w:shd w:fill="auto" w:val="clear"/>
            <w:tcMar>
              <w:start w:type="dxa" w:w="35"/>
            </w:tcMar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/>
              <w:t xml:space="preserve">ПБК Уральска (вторичное отравление): </w:t>
            </w:r>
            <w:bookmarkStart w:id="3" w:name="d0e10559"/>
            <w:bookmarkEnd w:id="3"/>
            <w:r>
              <w:rPr>
                <w:bCs/>
                <w:color w:val="000000"/>
                <w:szCs w:val="24"/>
                <w:lang w:val="en-US"/>
              </w:rPr>
              <w:t>не способность к биоаккумуляции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  <w:lang w:val="en-GB"/>
        </w:rPr>
      </w:pPr>
      <w:r>
        <w:rPr>
          <w:sz w:val="4"/>
          <w:szCs w:val="4"/>
          <w:lang w:val="en-GB"/>
        </w:rPr>
      </w:r>
    </w:p>
    <w:p>
      <w:pPr>
        <w:pStyle w:val="Subheading"/>
        <w:rPr/>
      </w:pPr>
      <w:r>
        <w:rPr>
          <w:rFonts w:eastAsia="MS Mincho;MS Gothic"/>
          <w:lang w:val="nl-BE"/>
        </w:rPr>
        <w:t>8.2.</w:t>
        <w:tab/>
      </w:r>
      <w:r>
        <w:rPr>
          <w:rFonts w:eastAsia="MS Mincho;MS Gothic"/>
          <w:lang w:eastAsia="en-US"/>
        </w:rPr>
        <w:t>контроль экспозиции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Соответствующий инженерный контроль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обеспечьте достаточную вентиляцию.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Защита рук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защитные перчатки.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Защита глаз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плотно прилегающие защитные очки.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Защита кожи и тела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наденьте подходящую защитную одежду.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Защита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органов дыхания: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соответствующее респираторное оборудование (дыхательный аппарат с фильтром ).</w:t>
            </w:r>
          </w:p>
        </w:tc>
      </w:tr>
    </w:tbl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9: </w:t>
      </w:r>
      <w:r>
        <w:rPr>
          <w:rFonts w:eastAsia="MS Mincho;MS Gothic"/>
          <w:lang w:val="fr-BE" w:eastAsia="en-US"/>
        </w:rPr>
        <w:t>физико-химические свойства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9.1.</w:t>
        <w:tab/>
      </w:r>
      <w:r>
        <w:rPr>
          <w:rFonts w:eastAsia="MS Mincho;MS Gothic"/>
          <w:lang w:eastAsia="en-US"/>
        </w:rPr>
        <w:t>сведения об основных физико-химических свойствах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Физическое состояние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твердое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возникновение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>
                <w:rFonts w:eastAsia="MS Mincho;MS Gothic"/>
                <w:lang w:val="en-US" w:eastAsia="en-US"/>
              </w:rPr>
              <w:t>кристаллическое</w:t>
            </w:r>
            <w:r>
              <w:rPr>
                <w:rFonts w:eastAsia="MS Mincho;MS Gothic"/>
                <w:lang w:val="ru-RU" w:eastAsia="en-US"/>
              </w:rPr>
              <w:t>, зернистое</w:t>
            </w:r>
            <w:r>
              <w:rPr>
                <w:rFonts w:eastAsia="MS Mincho;MS Gothic"/>
                <w:lang w:val="en-US" w:eastAsia="en-US"/>
              </w:rPr>
              <w:t xml:space="preserve"> твердое тело.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Молекулярная масса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132,14 г / моль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цвет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белый. светло-желтый. Розовый.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Запах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Без Запаха.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Порог запаха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нет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pH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нет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температура плавления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280 °C &gt;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точка затвердевания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 xml:space="preserve">не применимо 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температура кипения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 xml:space="preserve">не применимо 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Температура вспышки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применимо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Relat. эвапор. оцените комп. к бутилацетату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данные отсутствуют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воспламеняемость (твердое вещество, газ)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воспламеняется.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Пределы взрывоопасности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нет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давление пара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нет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nl-BE" w:eastAsia="en-US"/>
              </w:rPr>
            </w:pPr>
            <w:r>
              <w:rPr>
                <w:rFonts w:eastAsia="MS Mincho;MS Gothic"/>
                <w:lang w:val="nl-BE" w:eastAsia="en-US"/>
              </w:rPr>
              <w:t>относительная плотность пара при 20 °C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fr-BE"/>
              </w:rPr>
            </w:pPr>
            <w:r>
              <w:rPr>
                <w:rFonts w:eastAsia="MS Mincho;MS Gothic"/>
                <w:lang w:val="fr-BE"/>
              </w:rPr>
              <w:t>нет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  <w:lang w:val="nl-BE"/>
              </w:rPr>
            </w:pPr>
            <w:r>
              <w:rPr>
                <w:rFonts w:eastAsia="Arial"/>
                <w:sz w:val="6"/>
                <w:szCs w:val="6"/>
                <w:lang w:val="fr-BE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относительная плотность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1,769 г/см3 при 20 °C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растворимость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растворим в воде. Нерастворим в маслах/жирах.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lang w:val="en-US" w:eastAsia="en-US"/>
              </w:rPr>
              <w:t>Вода</w:t>
            </w:r>
            <w:r>
              <w:rPr>
                <w:rFonts w:eastAsia="MS Mincho;MS Gothic"/>
              </w:rPr>
              <w:t xml:space="preserve">: </w:t>
            </w:r>
            <w:r>
              <w:rPr>
                <w:rFonts w:eastAsia="MS Mincho;MS Gothic"/>
                <w:lang w:val="en-US" w:eastAsia="en-US"/>
              </w:rPr>
              <w:t>767 г/л приблизительный (@25ºC)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Log Pow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</w:rPr>
            </w:pPr>
            <w:r>
              <w:rPr>
                <w:rFonts w:eastAsia="MS Mincho;MS Gothic"/>
              </w:rPr>
              <w:t>нет доступных данных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температура самовоспламенения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применимо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температура разложения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280 °C &gt;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вязкость, кинематическая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применимо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вязкость, динамическая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применимо</w:t>
            </w:r>
          </w:p>
          <w:p>
            <w:pPr>
              <w:pStyle w:val="Normal"/>
              <w:spacing w:before="0" w:after="0"/>
              <w:rPr>
                <w:sz w:val="6"/>
                <w:szCs w:val="6"/>
              </w:rPr>
            </w:pPr>
            <w:r>
              <w:rPr>
                <w:rFonts w:eastAsia="Arial"/>
                <w:sz w:val="6"/>
                <w:szCs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взрывчатые свойства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взрывоопасно.</w:t>
            </w:r>
          </w:p>
          <w:p>
            <w:pPr>
              <w:pStyle w:val="Normal"/>
              <w:spacing w:before="0" w:after="0"/>
              <w:rPr>
                <w:sz w:val="6"/>
              </w:rPr>
            </w:pPr>
            <w:r>
              <w:rPr>
                <w:rFonts w:eastAsia="Arial"/>
                <w:sz w:val="6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окислительные свойства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окисляется.</w:t>
            </w:r>
          </w:p>
          <w:p>
            <w:pPr>
              <w:pStyle w:val="Normal"/>
              <w:spacing w:before="0" w:after="0"/>
              <w:rPr>
                <w:sz w:val="6"/>
              </w:rPr>
            </w:pPr>
            <w:r>
              <w:rPr>
                <w:rFonts w:eastAsia="Arial"/>
                <w:sz w:val="6"/>
              </w:rPr>
              <w:t xml:space="preserve"> </w:t>
            </w:r>
          </w:p>
        </w:tc>
      </w:tr>
    </w:tbl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rPr/>
      </w:pPr>
      <w:r>
        <w:rPr>
          <w:rFonts w:eastAsia="MS Mincho;MS Gothic"/>
          <w:lang w:val="nl-BE"/>
        </w:rPr>
        <w:t>9.2.</w:t>
        <w:tab/>
      </w:r>
      <w:r>
        <w:rPr>
          <w:rFonts w:eastAsia="MS Mincho;MS Gothic"/>
          <w:lang w:val="nl-BE" w:eastAsia="en-US"/>
        </w:rPr>
        <w:t>прочая информация</w:t>
      </w:r>
    </w:p>
    <w:p>
      <w:pPr>
        <w:pStyle w:val="Normal"/>
        <w:rPr>
          <w:rFonts w:eastAsia="MS Mincho;MS Gothic"/>
          <w:lang w:val="nl-BE"/>
        </w:rPr>
      </w:pPr>
      <w:r>
        <w:rPr>
          <w:rFonts w:eastAsia="MS Mincho;MS Gothic"/>
          <w:lang w:val="nl-BE"/>
        </w:rPr>
        <w:t>Дополнительная информация отсутствует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10: </w:t>
      </w:r>
      <w:r>
        <w:rPr>
          <w:rFonts w:eastAsia="MS Mincho;MS Gothic"/>
          <w:lang w:val="fr-BE" w:eastAsia="en-US"/>
        </w:rPr>
        <w:t>стабильность и реактивность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10.1.</w:t>
        <w:tab/>
      </w:r>
      <w:r>
        <w:rPr>
          <w:rFonts w:eastAsia="MS Mincho;MS Gothic"/>
          <w:lang w:val="en-US" w:eastAsia="en-US"/>
        </w:rPr>
        <w:t>реактивность</w:t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Данные отсутствуют.</w:t>
      </w:r>
    </w:p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10.2.</w:t>
        <w:tab/>
      </w:r>
      <w:r>
        <w:rPr>
          <w:rFonts w:eastAsia="MS Mincho;MS Gothic"/>
          <w:lang w:val="fr-BE" w:eastAsia="en-US"/>
        </w:rPr>
        <w:t>химическая стабильность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Стабильна при нормальных условиях эксплуатации.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10.3.</w:t>
        <w:tab/>
      </w:r>
      <w:r>
        <w:rPr>
          <w:rFonts w:eastAsia="MS Mincho;MS Gothic"/>
          <w:lang w:val="fr-BE" w:eastAsia="en-US"/>
        </w:rPr>
        <w:t>возможность опасных реакций</w:t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Данные отсутствуют.</w:t>
      </w:r>
    </w:p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10.4.</w:t>
        <w:tab/>
      </w:r>
      <w:r>
        <w:rPr>
          <w:rFonts w:eastAsia="MS Mincho;MS Gothic"/>
          <w:lang w:val="fr-BE" w:eastAsia="en-US"/>
        </w:rPr>
        <w:t>условия, которых следует избегать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Данные отсутствуют.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10.5.</w:t>
        <w:tab/>
      </w:r>
      <w:r>
        <w:rPr>
          <w:rFonts w:eastAsia="MS Mincho;MS Gothic"/>
          <w:lang w:val="fr-BE" w:eastAsia="en-US"/>
        </w:rPr>
        <w:t>несовместимые материалы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органические материалы. кислоты. щелочи.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rPr/>
      </w:pPr>
      <w:r>
        <w:rPr>
          <w:rFonts w:eastAsia="MS Mincho;MS Gothic"/>
          <w:lang w:val="nl-BE"/>
        </w:rPr>
        <w:t>10.6.</w:t>
        <w:tab/>
      </w:r>
      <w:r>
        <w:rPr>
          <w:rFonts w:eastAsia="MS Mincho;MS Gothic"/>
          <w:lang w:val="fr-BE" w:eastAsia="en-US"/>
        </w:rPr>
        <w:t>опасные продукты разложения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При температуре 235 °С может выделяться: аммиак.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11: </w:t>
      </w:r>
      <w:r>
        <w:rPr>
          <w:rFonts w:eastAsia="MS Mincho;MS Gothic"/>
          <w:lang w:val="fr-BE" w:eastAsia="en-US"/>
        </w:rPr>
        <w:t>токсикологическая информация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11.1.</w:t>
        <w:tab/>
      </w:r>
      <w:r>
        <w:rPr>
          <w:rFonts w:eastAsia="MS Mincho;MS Gothic"/>
          <w:lang w:eastAsia="en-US"/>
        </w:rPr>
        <w:t>информация о токсикологических эффектах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Острая токсичность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классифицируется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/>
              </w:rPr>
              <w:t xml:space="preserve">, гранулированный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LD50 пероральная крыса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2000-4250 мг / кг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LD50 кожный кролик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2000 мг / кг&gt;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lc50 ингаляционная крыса (мг/л)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1000 мг/м3 (8 ч/сут)&gt;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de-DE" w:eastAsia="en-US"/>
              </w:rPr>
            </w:pPr>
            <w:r>
              <w:rPr>
                <w:rFonts w:eastAsia="MS Mincho;MS Gothic"/>
                <w:lang w:val="de-DE" w:eastAsia="en-US"/>
              </w:rPr>
              <w:t xml:space="preserve">lc50 ингаляционные </w:t>
            </w: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морские свинки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&gt; 900 мг/м3 (8 ч/сут)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Коррозия кожи / раздражение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раздражает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серьезное повреждение глаз / раздражение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раздражает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респираторная или кожная сенсибилизация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fr-BE" w:eastAsia="en-US"/>
              </w:rPr>
            </w:pPr>
            <w:r>
              <w:rPr>
                <w:rFonts w:eastAsia="MS Mincho;MS Gothic"/>
                <w:lang w:val="fr-BE" w:eastAsia="en-US"/>
              </w:rPr>
              <w:t>не сенсибилизирует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мутагенность половых клеток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отрицательная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канцерогенность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классифицируется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Репродуктивная токсичность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классифицирована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специфическая токсичность для органов-мишеней (однократное воздействие)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классифицирована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Специфическая токсичность для органов-мишеней (повторное воздействие)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классифицирована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 xml:space="preserve">, 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ru-RU"/>
              </w:rPr>
              <w:t>гранулированный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УННВ (перорально,крыса,90 дней)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256 мг/кг массы тела/сутки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lang w:val="en-US" w:eastAsia="en-US"/>
              </w:rPr>
              <w:t>кннв, равной (ингаляции,крыса,пыли/тумана/дыма,2 недели)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MS Mincho;MS Gothic"/>
                <w:lang w:val="en-US" w:eastAsia="en-US"/>
              </w:rPr>
              <w:t xml:space="preserve">300 мг/л/6ч/день </w:t>
            </w: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мг/м3 </w:t>
            </w:r>
            <w:r>
              <w:rPr>
                <w:rFonts w:eastAsia="MS Mincho;MS Gothic"/>
                <w:lang w:val="en-US" w:eastAsia="en-US"/>
              </w:rPr>
              <w:t>(8 часов/день)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60"/>
              <w:rPr>
                <w:rFonts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УННВ (влияние на фертильность, орально, крыса) 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1500 мг/кг масса тела/день 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60"/>
              <w:rPr>
                <w:rFonts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УННВ (развития токсичность, оральный, крыса) 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 xml:space="preserve">1500 мг/кг масса тела/день 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Опасность аспирации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</w:rPr>
            </w:pPr>
            <w:r>
              <w:rPr>
                <w:rFonts w:eastAsia="MS Mincho;MS Gothic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классифицирована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12: </w:t>
      </w:r>
      <w:r>
        <w:rPr>
          <w:rFonts w:eastAsia="MS Mincho;MS Gothic"/>
          <w:lang w:val="fr-BE" w:eastAsia="en-US"/>
        </w:rPr>
        <w:t>экологическая информация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12.1.</w:t>
        <w:tab/>
      </w:r>
      <w:r>
        <w:rPr>
          <w:rFonts w:eastAsia="MS Mincho;MS Gothic"/>
          <w:lang w:val="nl-BE" w:eastAsia="en-US"/>
        </w:rPr>
        <w:t>токсичность</w:t>
      </w:r>
    </w:p>
    <w:p>
      <w:pPr>
        <w:pStyle w:val="Normal"/>
        <w:spacing w:before="0" w:after="0"/>
        <w:rPr>
          <w:sz w:val="2"/>
          <w:szCs w:val="2"/>
          <w:lang w:val="nl-BE"/>
        </w:rPr>
      </w:pPr>
      <w:r>
        <w:rPr>
          <w:sz w:val="2"/>
          <w:szCs w:val="2"/>
          <w:lang w:val="nl-BE"/>
        </w:rPr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 xml:space="preserve">, гранулированный 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токсичность для Рыб lc50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53 мг/л (96 часов),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 xml:space="preserve">ЭК50 эффективная концентрация 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&gt; 121.7 мг/л (48 часов)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lang w:val="nl-BE"/>
              </w:rPr>
            </w:pPr>
            <w:r>
              <w:rPr>
                <w:rFonts w:eastAsia="MS Mincho;MS Gothic"/>
                <w:lang w:val="en-US" w:eastAsia="en-US"/>
              </w:rPr>
              <w:t>Эск50 (для водорослей)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2700 мг/л (18 дней)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EC10 (Наннетиопс macrochirus)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5.29 мг/л (30 дней)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EC10 (Hyalella Azteca, который)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3,12 мг/л (10 недель)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  <w:lang w:val="en-GB"/>
        </w:rPr>
      </w:pPr>
      <w:r>
        <w:rPr>
          <w:sz w:val="4"/>
          <w:szCs w:val="4"/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12.2.</w:t>
        <w:tab/>
      </w:r>
      <w:r>
        <w:rPr>
          <w:rFonts w:eastAsia="MS Mincho;MS Gothic"/>
          <w:lang w:eastAsia="en-US"/>
        </w:rPr>
        <w:t>стойкость и разлагаемость</w:t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>, гранулированный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стойкость и разлагаемость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неприменимы. При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гидролизе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в водном растворе сульфат аммония полностью диссоциирует на Ион аммония (NH4+) и сульфатный анион (SO4 2 -). Гидролиз сульфата аммония не происходит.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  <w:lang w:val="fr-BE"/>
        </w:rPr>
      </w:pPr>
      <w:r>
        <w:rPr>
          <w:sz w:val="4"/>
          <w:szCs w:val="4"/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12.3.</w:t>
        <w:tab/>
      </w:r>
      <w:r>
        <w:rPr>
          <w:rFonts w:eastAsia="MS Mincho;MS Gothic"/>
          <w:lang w:eastAsia="en-US"/>
        </w:rPr>
        <w:t>Биоаккумулятивный потенциал</w:t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>, гранулированный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Log Kow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-5.1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исходя из высокой растворимости в воде и ионной природы, сульфат аммония, как ожидается, не будет адсорбироваться или биоаккумулироваться в значительной степени. Кроме того, из-за снижения Kow до -5,1 биоаккумуляция не ожидается.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  <w:lang w:val="en-GB"/>
        </w:rPr>
      </w:pPr>
      <w:r>
        <w:rPr>
          <w:sz w:val="4"/>
          <w:szCs w:val="4"/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12.4.</w:t>
        <w:tab/>
      </w:r>
      <w:r>
        <w:rPr>
          <w:rFonts w:eastAsia="MS Mincho;MS Gothic"/>
          <w:lang w:eastAsia="en-US"/>
        </w:rPr>
        <w:t>подвижность в почве</w:t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>,</w:t>
            </w:r>
            <w:r>
              <w:rPr>
                <w:rFonts w:eastAsia="MS Mincho;MS Gothic"/>
                <w:lang w:val="ru-RU" w:eastAsia="en-US"/>
              </w:rPr>
              <w:t xml:space="preserve"> </w:t>
            </w:r>
            <w:r>
              <w:rPr>
                <w:rFonts w:eastAsia="MS Mincho;MS Gothic"/>
                <w:b/>
                <w:bCs/>
                <w:lang w:val="ru-RU" w:eastAsia="en-US"/>
              </w:rPr>
              <w:t xml:space="preserve">гранулированный 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Экология-почва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в почве сульфат аммония минерализуется довольно быстро, и впоследствии нитрифицированный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аммиак от разложения сульфата аммония может выделяться из почв, особенно если внесенное удобрение не покрыто почвой. Аммоний, остающийся в почве, в значительной степени адсорбируется на отрицательно заряженных глинистых частицах и будет подвергаться нитрификации и денитрификации как часть азотного цикла и поглощаться растениями через азотфиксацию (WHO, 1986). Сульфат также может удерживаться в почве как путем включения в органическое вещество (например, в виде сульфатных эфиров гуминовых кислот), так и адсорбированными частицами тосойла, такими как сесквиоксиды гидрозного железа и алюминия (EPA, 2002).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napToGrid w:val="false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Cs w:val="24"/>
                <w:lang w:val="en-US" w:eastAsia="zh-CN"/>
              </w:rPr>
              <w:t>исходя из высокой растворимости в воде, следует ожидать низкого потенциала геоаккумуляции и высокой подвижности в почве. 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  <w:lang w:val="fr-BE"/>
        </w:rPr>
      </w:pPr>
      <w:r>
        <w:rPr>
          <w:sz w:val="4"/>
          <w:szCs w:val="4"/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12.5.</w:t>
        <w:tab/>
      </w:r>
      <w:r>
        <w:rPr>
          <w:rFonts w:eastAsia="MS Mincho;MS Gothic"/>
          <w:lang w:eastAsia="en-US"/>
        </w:rPr>
        <w:t>результаты оценки ПБТ и впвб</w:t>
      </w:r>
    </w:p>
    <w:tbl>
      <w:tblPr>
        <w:tblW w:type="dxa" w:w="10498"/>
        <w:jc w:val="start"/>
        <w:tblInd w:type="dxa" w:w="108"/>
        <w:tblBorders>
          <w:top w:val="single" w:space="0" w:color="0070C0" w:sz="4"/>
          <w:start w:val="single" w:space="0" w:color="0070C0" w:sz="4"/>
          <w:bottom w:val="single" w:space="0" w:color="0070C0" w:sz="4"/>
          <w:end w:val="single" w:space="0" w:color="0070C0" w:sz="4"/>
          <w:insideH w:val="single" w:space="0" w:color="0070C0" w:sz="4"/>
          <w:insideV w:val="single" w:space="0" w:color="0070C0" w:sz="4"/>
        </w:tblBorders>
        <w:tblCellMar>
          <w:top w:type="dxa" w:w="20"/>
          <w:start w:type="dxa" w:w="103"/>
          <w:bottom w:type="dxa" w:w="20"/>
          <w:end w:type="dxa" w:w="108"/>
        </w:tblCellMar>
      </w:tblPr>
      <w:tblGrid>
        <w:gridCol w:w="3576"/>
        <w:gridCol w:w="6922"/>
      </w:tblGrid>
      <w:tr>
        <w:trPr>
          <w:tblHeader w:val="true"/>
          <w:cantSplit w:val="true"/>
        </w:trPr>
        <w:tc>
          <w:tcPr>
            <w:tcW w:type="dxa" w:w="10498"/>
            <w:gridSpan w:val="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C6D9F1" w:val="clear"/>
            <w:tcMar>
              <w:start w:type="dxa" w:w="103"/>
            </w:tcMar>
            <w:vAlign w:val="center"/>
          </w:tcPr>
          <w:p>
            <w:pPr>
              <w:pStyle w:val="Normal"/>
              <w:keepNext/>
              <w:spacing w:before="0" w:after="0"/>
              <w:rPr>
                <w:b/>
                <w:b/>
                <w:bCs/>
              </w:rPr>
            </w:pPr>
            <w:r>
              <w:rPr>
                <w:rFonts w:eastAsia="MS Mincho;MS Gothic"/>
                <w:b/>
                <w:bCs/>
                <w:lang w:val="en-US" w:eastAsia="en-US"/>
              </w:rPr>
              <w:t>Сульфат аммония кристаллический</w:t>
            </w:r>
            <w:r>
              <w:rPr>
                <w:rFonts w:eastAsia="MS Mincho;MS Gothic"/>
                <w:b/>
                <w:bCs/>
                <w:lang w:val="ru-RU" w:eastAsia="en-US"/>
              </w:rPr>
              <w:t>, гранулированный</w:t>
            </w:r>
            <w:r>
              <w:rPr>
                <w:rFonts w:eastAsia="MS Mincho;MS Gothic"/>
                <w:b/>
                <w:bCs/>
              </w:rPr>
              <w:t xml:space="preserve"> </w:t>
            </w:r>
            <w:r>
              <w:rPr>
                <w:rFonts w:eastAsia="MS Mincho;MS Gothic"/>
                <w:b/>
                <w:bCs/>
                <w:lang w:val="en-US" w:eastAsia="en-US"/>
              </w:rPr>
              <w:t>(7783-20-2)</w:t>
            </w:r>
          </w:p>
        </w:tc>
      </w:tr>
      <w:tr>
        <w:trPr>
          <w:cantSplit w:val="true"/>
        </w:trPr>
        <w:tc>
          <w:tcPr>
            <w:tcW w:type="dxa" w:w="3576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insideH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результаты оценки ПБТ</w:t>
            </w:r>
          </w:p>
        </w:tc>
        <w:tc>
          <w:tcPr>
            <w:tcW w:type="dxa" w:w="6922"/>
            <w:tcBorders>
              <w:top w:val="single" w:space="0" w:color="0070C0" w:sz="4"/>
              <w:start w:val="single" w:space="0" w:color="0070C0" w:sz="4"/>
              <w:bottom w:val="single" w:space="0" w:color="0070C0" w:sz="4"/>
              <w:end w:val="single" w:space="0" w:color="0070C0" w:sz="4"/>
              <w:insideH w:val="single" w:space="0" w:color="0070C0" w:sz="4"/>
              <w:insideV w:val="single" w:space="0" w:color="0070C0" w:sz="4"/>
            </w:tcBorders>
            <w:shd w:fill="auto" w:val="clear"/>
            <w:tcMar>
              <w:start w:type="dxa" w:w="103"/>
            </w:tcMar>
          </w:tcPr>
          <w:p>
            <w:pPr>
              <w:pStyle w:val="Normal"/>
              <w:spacing w:before="0" w:after="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критерии ПБТ и впвб не применяются к неорганическим веществам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pacingBeforeSubheading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ubheading"/>
        <w:rPr/>
      </w:pPr>
      <w:r>
        <w:rPr>
          <w:rFonts w:eastAsia="MS Mincho;MS Gothic"/>
          <w:lang w:val="nl-BE"/>
        </w:rPr>
        <w:t>12.6.</w:t>
        <w:tab/>
      </w:r>
      <w:r>
        <w:rPr>
          <w:rFonts w:eastAsia="MS Mincho;MS Gothic"/>
          <w:lang w:eastAsia="en-US"/>
        </w:rPr>
        <w:t>другие неблагоприятные последствия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Другие неблагоприятные эффекты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избегайте попадания неразбавленного продукта в канализацию или поверхностную воду.</w:t>
            </w:r>
          </w:p>
        </w:tc>
      </w:tr>
    </w:tbl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13: </w:t>
      </w:r>
      <w:r>
        <w:rPr>
          <w:rFonts w:eastAsia="MS Mincho;MS Gothic"/>
          <w:lang w:val="fr-BE" w:eastAsia="en-US"/>
        </w:rPr>
        <w:t>соображения по удалению отходов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13.1.</w:t>
        <w:tab/>
      </w:r>
      <w:r>
        <w:rPr>
          <w:rFonts w:eastAsia="MS Mincho;MS Gothic"/>
          <w:lang w:eastAsia="en-US"/>
        </w:rPr>
        <w:t>методы обработки отходов</w:t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Рекомендации по удалению сточных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вод 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допускайте попадания в канализацию и общественные воды.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рекомендации по удалению отходов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не удаляйте в качестве бытового мусора. Утилизируйте продукт или утилизируйте его должным образом. Соблюдайте применимые местные, национальные и международные правила.</w:t>
            </w:r>
          </w:p>
        </w:tc>
      </w:tr>
    </w:tbl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14: </w:t>
      </w:r>
      <w:r>
        <w:rPr>
          <w:rFonts w:eastAsia="MS Mincho;MS Gothic"/>
          <w:lang w:val="fr-BE" w:eastAsia="en-US"/>
        </w:rPr>
        <w:t>транспортная информация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Normal"/>
        <w:rPr>
          <w:rFonts w:eastAsia="MS Mincho;MS Gothic"/>
          <w:lang w:val="en-US" w:eastAsia="en-US"/>
        </w:rPr>
      </w:pPr>
      <w:r>
        <w:rPr>
          <w:rFonts w:eastAsia="MS Mincho;MS Gothic"/>
          <w:lang w:val="en-US" w:eastAsia="en-US"/>
        </w:rPr>
        <w:t>Не опасное добро в смысле транспортных правил.</w:t>
      </w:r>
    </w:p>
    <w:p>
      <w:pPr>
        <w:pStyle w:val="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15: </w:t>
      </w:r>
      <w:r>
        <w:rPr>
          <w:rFonts w:eastAsia="MS Mincho;MS Gothic"/>
          <w:lang w:val="fr-BE" w:eastAsia="en-US"/>
        </w:rPr>
        <w:t>нормативная информация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nl-BE"/>
        </w:rPr>
        <w:t>15.1.</w:t>
        <w:tab/>
      </w:r>
      <w:r>
        <w:rPr>
          <w:rFonts w:eastAsia="MS Mincho;MS Gothic"/>
          <w:lang w:val="nl-BE" w:eastAsia="en-US"/>
        </w:rPr>
        <w:t>правила техники безопасности, охраны здоровья и окружающей среды / законодательство, специфичные для данного вещества или смеси</w:t>
      </w:r>
    </w:p>
    <w:p>
      <w:pPr>
        <w:pStyle w:val="Subsubheading"/>
        <w:numPr>
          <w:ilvl w:val="0"/>
          <w:numId w:val="0"/>
        </w:numPr>
        <w:outlineLvl w:val="0"/>
        <w:rPr>
          <w:rFonts w:eastAsia="MS Mincho;MS Gothic"/>
        </w:rPr>
      </w:pPr>
      <w:r>
        <w:rPr>
          <w:rFonts w:eastAsia="MS Mincho;MS Gothic"/>
        </w:rPr>
        <w:t>15.1.1.</w:t>
        <w:tab/>
      </w:r>
      <w:r>
        <w:rPr>
          <w:rFonts w:eastAsia="MS Mincho;MS Gothic"/>
          <w:lang w:val="en-US" w:eastAsia="en-US"/>
        </w:rPr>
        <w:t>правила ЕС</w:t>
      </w:r>
    </w:p>
    <w:p>
      <w:pPr>
        <w:pStyle w:val="Normal"/>
        <w:rPr>
          <w:rFonts w:eastAsia="MS Mincho;MS Gothic"/>
          <w:lang w:val="nl-BE"/>
        </w:rPr>
      </w:pPr>
      <w:r>
        <w:rPr>
          <w:rFonts w:eastAsia="MS Mincho;MS Gothic"/>
          <w:lang w:val="nl-BE"/>
        </w:rPr>
        <w:t>Дополнительная информация отсутствует</w:t>
      </w:r>
    </w:p>
    <w:p>
      <w:pPr>
        <w:pStyle w:val="Normal"/>
        <w:spacing w:before="0" w:after="0"/>
        <w:rPr>
          <w:sz w:val="2"/>
          <w:szCs w:val="2"/>
          <w:lang w:val="nl-BE"/>
        </w:rPr>
      </w:pPr>
      <w:r>
        <w:rPr>
          <w:sz w:val="2"/>
          <w:szCs w:val="2"/>
          <w:lang w:val="nl-BE"/>
        </w:rPr>
      </w:r>
    </w:p>
    <w:p>
      <w:pPr>
        <w:pStyle w:val="Subsubheading"/>
        <w:rPr>
          <w:rFonts w:eastAsia="MS Mincho;MS Gothic"/>
        </w:rPr>
      </w:pPr>
      <w:r>
        <w:rPr>
          <w:rFonts w:eastAsia="MS Mincho;MS Gothic"/>
        </w:rPr>
        <w:t>15.1.2.</w:t>
        <w:tab/>
      </w:r>
      <w:r>
        <w:rPr>
          <w:rFonts w:eastAsia="MS Mincho;MS Gothic"/>
          <w:lang w:val="en-US" w:eastAsia="en-US"/>
        </w:rPr>
        <w:t>национальные правила</w:t>
      </w:r>
    </w:p>
    <w:p>
      <w:pPr>
        <w:pStyle w:val="Normal"/>
        <w:rPr>
          <w:rFonts w:eastAsia="MS Mincho;MS Gothic"/>
          <w:lang w:val="nl-BE"/>
        </w:rPr>
      </w:pPr>
      <w:r>
        <w:rPr>
          <w:rFonts w:eastAsia="MS Mincho;MS Gothic"/>
          <w:lang w:val="nl-BE"/>
        </w:rPr>
        <w:t>Дополнительная информация отсутствует</w:t>
      </w:r>
    </w:p>
    <w:p>
      <w:pPr>
        <w:pStyle w:val="SpacingBeforeSubheading"/>
        <w:rPr>
          <w:lang w:val="nl-BE"/>
        </w:rPr>
      </w:pPr>
      <w:r>
        <w:rPr>
          <w:lang w:val="nl-BE"/>
        </w:rPr>
      </w:r>
    </w:p>
    <w:p>
      <w:pPr>
        <w:pStyle w:val="SpacingBeforeSubheading"/>
        <w:rPr>
          <w:lang w:val="en-GB"/>
        </w:rPr>
      </w:pPr>
      <w:r>
        <w:rPr>
          <w:lang w:val="en-GB"/>
        </w:rPr>
      </w:r>
    </w:p>
    <w:p>
      <w:pPr>
        <w:pStyle w:val="Subheading"/>
        <w:numPr>
          <w:ilvl w:val="0"/>
          <w:numId w:val="0"/>
        </w:numPr>
        <w:outlineLvl w:val="0"/>
        <w:rPr/>
      </w:pPr>
      <w:r>
        <w:rPr>
          <w:rFonts w:eastAsia="MS Mincho;MS Gothic"/>
          <w:lang w:val="fr-BE"/>
        </w:rPr>
        <w:t>15.2.</w:t>
        <w:tab/>
      </w:r>
      <w:r>
        <w:rPr>
          <w:rFonts w:eastAsia="MS Mincho;MS Gothic"/>
          <w:lang w:val="fr-BE" w:eastAsia="en-US"/>
        </w:rPr>
        <w:t>оценка химической безопасности</w:t>
      </w:r>
    </w:p>
    <w:p>
      <w:pPr>
        <w:pStyle w:val="Normal"/>
        <w:rPr>
          <w:rFonts w:eastAsia="MS Mincho;MS Gothic"/>
          <w:lang w:val="fr-BE" w:eastAsia="en-US"/>
        </w:rPr>
      </w:pPr>
      <w:r>
        <w:rPr>
          <w:rFonts w:eastAsia="MS Mincho;MS Gothic"/>
          <w:lang w:val="fr-BE" w:eastAsia="en-US"/>
        </w:rPr>
        <w:t>CSA не была выполнена</w:t>
      </w:r>
    </w:p>
    <w:p>
      <w:pPr>
        <w:pStyle w:val="Heading"/>
        <w:rPr/>
      </w:pPr>
      <w:r>
        <w:rPr>
          <w:rFonts w:eastAsia="MS Mincho;MS Gothic"/>
          <w:lang w:val="fr-BE" w:eastAsia="en-US"/>
        </w:rPr>
        <w:t>Раздел</w:t>
      </w:r>
      <w:r>
        <w:rPr>
          <w:rFonts w:eastAsia="MS Mincho;MS Gothic"/>
          <w:lang w:val="fr-BE"/>
        </w:rPr>
        <w:t xml:space="preserve"> 16: </w:t>
      </w:r>
      <w:r>
        <w:rPr>
          <w:rFonts w:eastAsia="MS Mincho;MS Gothic"/>
          <w:lang w:val="fr-BE" w:eastAsia="en-US"/>
        </w:rPr>
        <w:t>прочая информация</w:t>
      </w:r>
    </w:p>
    <w:p>
      <w:pPr>
        <w:pStyle w:val="SpacingBeforeSubheading"/>
        <w:rPr>
          <w:lang w:val="fr-BE"/>
        </w:rPr>
      </w:pPr>
      <w:r>
        <w:rPr>
          <w:lang w:val="fr-BE"/>
        </w:rPr>
      </w:r>
    </w:p>
    <w:tbl>
      <w:tblPr>
        <w:tblW w:type="dxa" w:w="10686"/>
        <w:jc w:val="start"/>
        <w:tblInd w:type="dxa" w:w="-4"/>
        <w:tblBorders/>
        <w:tblCellMar>
          <w:top w:type="dxa" w:w="0"/>
          <w:start w:type="dxa" w:w="108"/>
          <w:bottom w:type="dxa" w:w="0"/>
          <w:end w:type="dxa" w:w="108"/>
        </w:tblCellMar>
      </w:tblPr>
      <w:tblGrid>
        <w:gridCol w:w="3656"/>
        <w:gridCol w:w="239"/>
        <w:gridCol w:w="6791"/>
      </w:tblGrid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Источники ключевых данных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MSDS.</w:t>
            </w:r>
          </w:p>
        </w:tc>
      </w:tr>
      <w:tr>
        <w:trPr>
          <w:cantSplit w:val="true"/>
        </w:trPr>
        <w:tc>
          <w:tcPr>
            <w:tcW w:type="dxa" w:w="3656"/>
            <w:tcBorders/>
            <w:shd w:fill="auto" w:val="clear"/>
          </w:tcPr>
          <w:p>
            <w:pPr>
              <w:pStyle w:val="Normal"/>
              <w:spacing w:before="0" w:after="60"/>
              <w:rPr>
                <w:rFonts w:eastAsia="MS Mincho;MS Gothic"/>
                <w:lang w:val="en-US" w:eastAsia="en-US"/>
              </w:rPr>
            </w:pPr>
            <w:r>
              <w:rPr>
                <w:rFonts w:eastAsia="MS Mincho;MS Gothic"/>
                <w:lang w:val="en-US" w:eastAsia="en-US"/>
              </w:rPr>
              <w:t>сокращения и аббревиатуры</w:t>
            </w:r>
          </w:p>
        </w:tc>
        <w:tc>
          <w:tcPr>
            <w:tcW w:type="dxa" w:w="239"/>
            <w:tcBorders/>
            <w:shd w:fill="auto" w:val="clear"/>
            <w:tcMar>
              <w:start w:type="dxa" w:w="0"/>
              <w:end w:type="dxa" w:w="0"/>
            </w:tcMar>
          </w:tcPr>
          <w:p>
            <w:pPr>
              <w:pStyle w:val="Normal"/>
              <w:spacing w:before="0" w:after="60"/>
              <w:rPr>
                <w:rFonts w:eastAsia="MS Mincho;MS Gothic"/>
                <w:lang w:val="nl-BE"/>
              </w:rPr>
            </w:pPr>
            <w:r>
              <w:rPr>
                <w:rFonts w:eastAsia="MS Mincho;MS Gothic"/>
                <w:lang w:val="nl-BE"/>
              </w:rPr>
              <w:t>:</w:t>
            </w:r>
          </w:p>
        </w:tc>
        <w:tc>
          <w:tcPr>
            <w:tcW w:type="dxa" w:w="6791"/>
            <w:tcBorders/>
            <w:shd w:fill="auto" w:val="clear"/>
          </w:tcPr>
          <w:p>
            <w:pPr>
              <w:pStyle w:val="Normal"/>
              <w:widowControl/>
              <w:bidi w:val="0"/>
              <w:spacing w:before="0" w:after="60"/>
              <w:rPr/>
            </w:pPr>
            <w:r>
              <w:rPr>
                <w:rFonts w:eastAsia="MS Mincho;MS Gothic"/>
                <w:lang w:val="en-US" w:eastAsia="en-US"/>
              </w:rPr>
              <w:t>ACGIH (American Conference of Government Industrial Hygienists). ASTM-американское общество испытаний и материалов . CAS-служба химических рефератов. Номер CAS (Chemical Abstracts Service). CLP-классификация, маркировка и упаковка. КСО-отчет о химической безопасности. DIN-Deutsches Institut für Normung eV (немецкий Институт стандартизации). ЕС-Европейское сообщество. ЕЭС-Европейское экономическое сообщество. FRP: армированные стекловолокном пластмассы. GESTIS: Gefahrstoffdaten banken (база данных по опасным веществам). СГС-глобально гармонизированная система. ГППС: полистиролы общего назначения. HCS-стандарт связи с опасностью. Бедра: ударопрочные полистиролы. HMIS-система идентификации опасных материалов. МАИР (Международное агентство по изучению рака). MSDS-паспорт безопасности материалов. OSHA-Управление охраны труда и промышленной безопасности. Наземный транспорт (ДОПОГ). ПВА (поливиниловый спирт). ПВХ (Поливинилхлорид). REACH-Регистрация, оценка, разрешение и ограничение химических веществ. SDS-паспорт безопасности . Вверх: ненасыщенный полиэстер. VCI-Летучий ингибитор коррозии. VE: эпоксидный виниловый эфир.</w:t>
            </w:r>
          </w:p>
        </w:tc>
      </w:tr>
    </w:tbl>
    <w:p>
      <w:pPr>
        <w:pStyle w:val="Normal"/>
        <w:keepNext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Lines/>
        <w:spacing w:before="0" w:after="60"/>
        <w:rPr>
          <w:rFonts w:eastAsia="MS Mincho;MS Gothic"/>
          <w:i/>
          <w:i/>
          <w:iCs/>
          <w:sz w:val="12"/>
          <w:szCs w:val="12"/>
          <w:lang w:val="en-US" w:eastAsia="en-US"/>
        </w:rPr>
      </w:pPr>
      <w:r>
        <w:rPr>
          <w:rFonts w:eastAsia="MS Mincho;MS Gothic"/>
          <w:i/>
          <w:iCs/>
          <w:sz w:val="12"/>
          <w:szCs w:val="12"/>
          <w:lang w:val="en-US" w:eastAsia="en-US"/>
        </w:rPr>
        <w:t>Эта информация основана на наших текущих знаниях и предназначена для описания продукта только в целях охраны здоровья, безопасности и экологических требований. Поэтому он не должен толковаться как гарантирующий какое-либо конкретное свойство продукта.</w:t>
      </w:r>
    </w:p>
    <w:sectPr>
      <w:headerReference r:id="rId5" w:type="default"/>
      <w:headerReference r:id="rId6" w:type="first"/>
      <w:footerReference r:id="rId7" w:type="default"/>
      <w:footerReference r:id="rId8" w:type="first"/>
      <w:type w:val="nextPage"/>
      <w:pgSz w:h="16838" w:w="11906"/>
      <w:pgMar w:left="720" w:bottom="765" w:right="720" w:gutter="0" w:header="709" w:top="765" w:footer="709"/>
      <w:pgNumType w:fmt="decimal"/>
      <w:formProt w:val="false"/>
      <w:titlePg/>
      <w:textDirection w:val="lrTb"/>
      <w:docGrid w:linePitch="360" w:type="default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12" w:type="dxa"/>
      <w:jc w:val="start"/>
      <w:tblInd w:w="0" w:type="dxa"/>
      <w:tblBorders>
        <w:top w:val="single" w:sz="4" w:space="0" w:color="0070C0"/>
      </w:tblBorders>
      <w:tblCellMar>
        <w:top w:w="0" w:type="dxa"/>
        <w:start w:w="108" w:type="dxa"/>
        <w:bottom w:w="0" w:type="dxa"/>
        <w:end w:w="108" w:type="dxa"/>
      </w:tblCellMar>
    </w:tblPr>
    <w:tblGrid>
      <w:gridCol w:w="2806"/>
      <w:gridCol w:w="5099"/>
      <w:gridCol w:w="2807"/>
    </w:tblGrid>
    <w:tr>
      <w:trPr>
        <w:trHeight w:val="70" w:hRule="atLeast"/>
      </w:trPr>
      <w:tc>
        <w:tcPr>
          <w:tcW w:w="2806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rPr>
              <w:sz w:val="14"/>
              <w:szCs w:val="14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01/08/2018</w:t>
          </w:r>
        </w:p>
      </w:tc>
      <w:tc>
        <w:tcPr>
          <w:tcW w:w="5099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jc w:val="center"/>
            <w:rPr>
              <w:sz w:val="14"/>
              <w:szCs w:val="14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EN</w:t>
          </w:r>
          <w:r>
            <w:rPr>
              <w:rFonts w:eastAsia="MS Mincho;MS Gothic"/>
              <w:sz w:val="14"/>
              <w:szCs w:val="14"/>
            </w:rPr>
            <w:t xml:space="preserve"> (</w:t>
          </w:r>
          <w:r>
            <w:rPr>
              <w:rFonts w:eastAsia="MS Mincho;MS Gothic"/>
              <w:sz w:val="14"/>
              <w:szCs w:val="14"/>
              <w:lang w:val="en-US" w:eastAsia="en-US"/>
            </w:rPr>
            <w:t>English</w:t>
          </w:r>
          <w:r>
            <w:rPr>
              <w:rFonts w:eastAsia="MS Mincho;MS Gothic"/>
              <w:sz w:val="14"/>
              <w:szCs w:val="14"/>
            </w:rPr>
            <w:t>)</w:t>
          </w:r>
        </w:p>
      </w:tc>
      <w:tc>
        <w:tcPr>
          <w:tcW w:w="2807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jc w:val="end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eastAsia="MS Mincho;MS Gothic"/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>
    <w:pPr>
      <w:pStyle w:val="Normal"/>
      <w:spacing w:before="20" w:after="0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91" w:type="dxa"/>
      <w:jc w:val="start"/>
      <w:tblInd w:w="0" w:type="dxa"/>
      <w:tblBorders>
        <w:top w:val="single" w:sz="4" w:space="0" w:color="0070C0"/>
      </w:tblBorders>
      <w:tblCellMar>
        <w:top w:w="0" w:type="dxa"/>
        <w:start w:w="108" w:type="dxa"/>
        <w:bottom w:w="0" w:type="dxa"/>
        <w:end w:w="108" w:type="dxa"/>
      </w:tblCellMar>
    </w:tblPr>
    <w:tblGrid>
      <w:gridCol w:w="2806"/>
      <w:gridCol w:w="5099"/>
      <w:gridCol w:w="2786"/>
    </w:tblGrid>
    <w:tr>
      <w:trPr/>
      <w:tc>
        <w:tcPr>
          <w:tcW w:w="2806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rPr>
              <w:sz w:val="14"/>
              <w:szCs w:val="14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01/08/2018</w:t>
          </w:r>
        </w:p>
      </w:tc>
      <w:tc>
        <w:tcPr>
          <w:tcW w:w="5099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jc w:val="center"/>
            <w:rPr>
              <w:sz w:val="14"/>
              <w:szCs w:val="14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EN</w:t>
          </w:r>
          <w:r>
            <w:rPr>
              <w:rFonts w:eastAsia="MS Mincho;MS Gothic"/>
              <w:sz w:val="14"/>
              <w:szCs w:val="14"/>
            </w:rPr>
            <w:t xml:space="preserve"> (</w:t>
          </w:r>
          <w:r>
            <w:rPr>
              <w:rFonts w:eastAsia="MS Mincho;MS Gothic"/>
              <w:sz w:val="14"/>
              <w:szCs w:val="14"/>
              <w:lang w:val="en-US" w:eastAsia="en-US"/>
            </w:rPr>
            <w:t>English</w:t>
          </w:r>
          <w:r>
            <w:rPr>
              <w:rFonts w:eastAsia="MS Mincho;MS Gothic"/>
              <w:sz w:val="14"/>
              <w:szCs w:val="14"/>
            </w:rPr>
            <w:t>)</w:t>
          </w:r>
        </w:p>
      </w:tc>
      <w:tc>
        <w:tcPr>
          <w:tcW w:w="2786" w:type="dxa"/>
          <w:tcBorders>
            <w:top w:val="single" w:sz="4" w:space="0" w:color="0070C0"/>
          </w:tcBorders>
          <w:shd w:fill="auto" w:val="clear"/>
        </w:tcPr>
        <w:p>
          <w:pPr>
            <w:pStyle w:val="Normal"/>
            <w:spacing w:before="20" w:after="0"/>
            <w:jc w:val="end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cho;MS Gothic"/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>
    <w:pPr>
      <w:pStyle w:val="Normal"/>
      <w:spacing w:before="0" w:after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91" w:type="dxa"/>
      <w:jc w:val="start"/>
      <w:tblInd w:w="-108" w:type="dxa"/>
      <w:tblBorders>
        <w:bottom w:val="single" w:sz="4" w:space="0" w:color="0070C0"/>
        <w:insideH w:val="single" w:sz="4" w:space="0" w:color="0070C0"/>
      </w:tblBorders>
      <w:tblCellMar>
        <w:top w:w="0" w:type="dxa"/>
        <w:start w:w="0" w:type="dxa"/>
        <w:bottom w:w="0" w:type="dxa"/>
        <w:end w:w="0" w:type="dxa"/>
      </w:tblCellMar>
    </w:tblPr>
    <w:tblGrid>
      <w:gridCol w:w="10691"/>
    </w:tblGrid>
    <w:tr>
      <w:trPr/>
      <w:tc>
        <w:tcPr>
          <w:tcW w:w="10691" w:type="dxa"/>
          <w:tcBorders>
            <w:bottom w:val="single" w:sz="4" w:space="0" w:color="0070C0"/>
            <w:insideH w:val="single" w:sz="4" w:space="0" w:color="0070C0"/>
          </w:tcBorders>
          <w:shd w:fill="auto" w:val="clear"/>
        </w:tcPr>
        <w:p>
          <w:pPr>
            <w:pStyle w:val="Normal"/>
            <w:spacing w:before="0" w:after="0"/>
            <w:rPr>
              <w:b/>
              <w:b/>
              <w:bCs/>
              <w:sz w:val="32"/>
              <w:szCs w:val="32"/>
            </w:rPr>
          </w:pPr>
          <w:r>
            <w:rPr>
              <w:rFonts w:eastAsia="MS Mincho;MS Gothic"/>
              <w:b/>
              <w:bCs/>
              <w:sz w:val="32"/>
              <w:szCs w:val="32"/>
              <w:lang w:val="en-US" w:eastAsia="en-US"/>
            </w:rPr>
            <w:t>Ammonium sulfate crystalline</w:t>
          </w:r>
          <w:r>
            <w:rPr>
              <w:rFonts w:eastAsia="MS Mincho;MS Gothic"/>
              <w:b/>
              <w:bCs/>
              <w:sz w:val="32"/>
              <w:szCs w:val="32"/>
              <w:lang w:val="ru-RU" w:eastAsia="en-US"/>
            </w:rPr>
            <w:t>, granular</w:t>
          </w:r>
        </w:p>
        <w:p>
          <w:pPr>
            <w:pStyle w:val="Normal"/>
            <w:tabs>
              <w:tab w:val="right" w:pos="10583" w:leader="none"/>
            </w:tabs>
            <w:spacing w:before="0" w:after="0"/>
            <w:rPr>
              <w:sz w:val="24"/>
              <w:szCs w:val="24"/>
            </w:rPr>
          </w:pPr>
          <w:r>
            <w:rPr>
              <w:rFonts w:eastAsia="MS Mincho;MS Gothic"/>
              <w:sz w:val="24"/>
              <w:szCs w:val="24"/>
              <w:lang w:val="en-US" w:eastAsia="en-US"/>
            </w:rPr>
            <w:t>Safety Data Sheet</w:t>
          </w:r>
          <w:r>
            <w:rPr>
              <w:rFonts w:eastAsia="MS Mincho;MS Gothic"/>
              <w:sz w:val="24"/>
              <w:szCs w:val="24"/>
            </w:rPr>
            <w:tab/>
          </w:r>
        </w:p>
        <w:p>
          <w:pPr>
            <w:pStyle w:val="Normal"/>
            <w:spacing w:before="0" w:after="60"/>
            <w:rPr>
              <w:rFonts w:eastAsia="MS Mincho;MS Gothic"/>
              <w:sz w:val="14"/>
              <w:szCs w:val="14"/>
              <w:lang w:val="en-US" w:eastAsia="en-US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according to Regulation (EC) No. 2015/830</w:t>
          </w:r>
        </w:p>
      </w:tc>
    </w:tr>
  </w:tbl>
  <w:p>
    <w:pPr>
      <w:pStyle w:val="Normal"/>
      <w:spacing w:before="0" w:after="0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77" w:type="dxa"/>
      <w:jc w:val="start"/>
      <w:tblInd w:w="0" w:type="dxa"/>
      <w:tblBorders>
        <w:bottom w:val="single" w:sz="4" w:space="0" w:color="0070C0"/>
        <w:insideH w:val="single" w:sz="4" w:space="0" w:color="0070C0"/>
      </w:tblBorders>
      <w:tblCellMar>
        <w:top w:w="0" w:type="dxa"/>
        <w:start w:w="108" w:type="dxa"/>
        <w:bottom w:w="0" w:type="dxa"/>
        <w:end w:w="108" w:type="dxa"/>
      </w:tblCellMar>
    </w:tblPr>
    <w:tblGrid>
      <w:gridCol w:w="2943"/>
      <w:gridCol w:w="7734"/>
    </w:tblGrid>
    <w:tr>
      <w:trPr/>
      <w:tc>
        <w:tcPr>
          <w:tcW w:w="2943" w:type="dxa"/>
          <w:tcBorders>
            <w:bottom w:val="single" w:sz="4" w:space="0" w:color="0070C0"/>
            <w:insideH w:val="single" w:sz="4" w:space="0" w:color="0070C0"/>
          </w:tcBorders>
          <w:shd w:fill="auto" w:val="clear"/>
          <w:vAlign w:val="center"/>
        </w:tcPr>
        <w:p>
          <w:pPr>
            <w:pStyle w:val="Normal"/>
            <w:spacing w:before="0" w:after="60"/>
            <w:rPr>
              <w:sz w:val="20"/>
            </w:rPr>
          </w:pPr>
          <w:r>
            <w:rPr>
              <w:sz w:val="20"/>
              <w:lang w:val="ru-RU" w:eastAsia="en-US"/>
            </w:rPr>
            <w:drawing>
              <wp:inline distT="0" distB="0" distL="0" distR="0">
                <wp:extent cx="1176655" cy="676910"/>
                <wp:effectExtent l="0" t="0" r="0" b="0"/>
                <wp:docPr id="1" name="Image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4" w:type="dxa"/>
          <w:tcBorders>
            <w:bottom w:val="single" w:sz="4" w:space="0" w:color="0070C0"/>
            <w:insideH w:val="single" w:sz="4" w:space="0" w:color="0070C0"/>
          </w:tcBorders>
          <w:shd w:fill="auto" w:val="clear"/>
          <w:tcMar>
            <w:start w:w="0" w:type="dxa"/>
            <w:end w:w="0" w:type="dxa"/>
          </w:tcMar>
        </w:tcPr>
        <w:p>
          <w:pPr>
            <w:pStyle w:val="Normal"/>
            <w:spacing w:before="0" w:after="0"/>
            <w:rPr>
              <w:b/>
              <w:b/>
              <w:bCs/>
              <w:sz w:val="32"/>
              <w:szCs w:val="32"/>
              <w:lang w:val="ru-RU"/>
            </w:rPr>
          </w:pPr>
          <w:r>
            <w:rPr>
              <w:rFonts w:eastAsia="MS Mincho;MS Gothic"/>
              <w:b/>
              <w:bCs/>
              <w:sz w:val="32"/>
              <w:szCs w:val="32"/>
              <w:lang w:val="en-US" w:eastAsia="en-US"/>
            </w:rPr>
            <w:t>Ammonium sulfate crystalline</w:t>
          </w:r>
          <w:r>
            <w:rPr>
              <w:rFonts w:eastAsia="MS Mincho;MS Gothic"/>
              <w:b/>
              <w:bCs/>
              <w:sz w:val="32"/>
              <w:szCs w:val="32"/>
              <w:lang w:val="ru-RU" w:eastAsia="en-US"/>
            </w:rPr>
            <w:t>, granular</w:t>
          </w:r>
        </w:p>
        <w:p>
          <w:pPr>
            <w:pStyle w:val="Normal"/>
            <w:tabs>
              <w:tab w:val="right" w:pos="7626" w:leader="none"/>
            </w:tabs>
            <w:spacing w:before="0" w:after="0"/>
            <w:rPr>
              <w:sz w:val="24"/>
              <w:szCs w:val="24"/>
            </w:rPr>
          </w:pPr>
          <w:r>
            <w:rPr>
              <w:rFonts w:eastAsia="MS Mincho;MS Gothic"/>
              <w:sz w:val="24"/>
              <w:szCs w:val="24"/>
              <w:lang w:val="en-US" w:eastAsia="en-US"/>
            </w:rPr>
            <w:t>Safety Data Sheet</w:t>
          </w:r>
          <w:r>
            <w:rPr>
              <w:rFonts w:eastAsia="MS Mincho;MS Gothic"/>
              <w:sz w:val="24"/>
              <w:szCs w:val="24"/>
            </w:rPr>
            <w:tab/>
          </w:r>
        </w:p>
        <w:p>
          <w:pPr>
            <w:pStyle w:val="Normal"/>
            <w:rPr>
              <w:sz w:val="14"/>
              <w:szCs w:val="14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according to Regulation (EC) No. 2015/830</w:t>
          </w:r>
        </w:p>
        <w:p>
          <w:pPr>
            <w:pStyle w:val="Normal"/>
            <w:tabs>
              <w:tab w:val="center" w:pos="3885" w:leader="none"/>
              <w:tab w:val="right" w:pos="7626" w:leader="none"/>
            </w:tabs>
            <w:spacing w:before="0" w:after="60"/>
            <w:rPr>
              <w:b/>
              <w:b/>
              <w:bCs/>
              <w:sz w:val="20"/>
              <w:szCs w:val="20"/>
            </w:rPr>
          </w:pPr>
          <w:r>
            <w:rPr>
              <w:rFonts w:eastAsia="MS Mincho;MS Gothic"/>
              <w:sz w:val="14"/>
              <w:szCs w:val="14"/>
              <w:lang w:val="en-US" w:eastAsia="en-US"/>
            </w:rPr>
            <w:t>Revision date</w:t>
          </w:r>
          <w:r>
            <w:rPr>
              <w:rFonts w:eastAsia="MS Mincho;MS Gothic"/>
              <w:sz w:val="14"/>
              <w:szCs w:val="14"/>
            </w:rPr>
            <w:t>: 01</w:t>
          </w:r>
          <w:r>
            <w:rPr>
              <w:rFonts w:eastAsia="MS Mincho;MS Gothic"/>
              <w:sz w:val="14"/>
              <w:szCs w:val="14"/>
              <w:lang w:val="en-US" w:eastAsia="en-US"/>
            </w:rPr>
            <w:t>/08/2018</w:t>
          </w:r>
          <w:r>
            <w:rPr>
              <w:rFonts w:eastAsia="MS Mincho;MS Gothic"/>
              <w:b/>
              <w:bCs/>
              <w:sz w:val="20"/>
              <w:szCs w:val="20"/>
            </w:rPr>
            <w:tab/>
          </w:r>
          <w:r>
            <w:rPr>
              <w:rFonts w:eastAsia="MS Mincho;MS Gothic"/>
              <w:sz w:val="14"/>
              <w:szCs w:val="14"/>
              <w:lang w:val="en-US" w:eastAsia="en-US"/>
            </w:rPr>
            <w:t>Supersedes</w:t>
          </w:r>
          <w:r>
            <w:rPr>
              <w:rFonts w:eastAsia="MS Mincho;MS Gothic"/>
              <w:sz w:val="14"/>
              <w:szCs w:val="14"/>
            </w:rPr>
            <w:t xml:space="preserve">: </w:t>
          </w:r>
          <w:r>
            <w:rPr>
              <w:rFonts w:eastAsia="MS Mincho;MS Gothic"/>
              <w:sz w:val="14"/>
              <w:szCs w:val="14"/>
              <w:lang w:val="ru-RU"/>
            </w:rPr>
            <w:t>29/03/2017</w:t>
          </w:r>
          <w:r>
            <w:rPr>
              <w:rFonts w:eastAsia="MS Mincho;MS Gothic"/>
              <w:b/>
              <w:bCs/>
              <w:sz w:val="20"/>
              <w:szCs w:val="20"/>
            </w:rPr>
            <w:tab/>
          </w:r>
          <w:r>
            <w:rPr>
              <w:rFonts w:eastAsia="MS Mincho;MS Gothic"/>
              <w:sz w:val="14"/>
              <w:szCs w:val="14"/>
              <w:lang w:val="en-US" w:eastAsia="en-US"/>
            </w:rPr>
            <w:t>Version</w:t>
          </w:r>
          <w:r>
            <w:rPr>
              <w:rFonts w:eastAsia="MS Mincho;MS Gothic"/>
              <w:sz w:val="14"/>
              <w:szCs w:val="14"/>
            </w:rPr>
            <w:t xml:space="preserve">: </w:t>
          </w:r>
          <w:r>
            <w:rPr>
              <w:rFonts w:eastAsia="MS Mincho;MS Gothic"/>
              <w:sz w:val="14"/>
              <w:szCs w:val="14"/>
              <w:lang w:val="en-US" w:eastAsia="en-US"/>
            </w:rPr>
            <w:t>2.1</w:t>
          </w:r>
        </w:p>
      </w:tc>
    </w:tr>
  </w:tbl>
  <w:p>
    <w:pPr>
      <w:pStyle w:val="Normal"/>
      <w:spacing w:before="0" w:after="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60"/>
    </w:pPr>
    <w:rPr>
      <w:rFonts w:ascii="Arial" w:hAnsi="Arial" w:eastAsia="Times New Roman" w:cs="Arial"/>
      <w:color w:val="auto"/>
      <w:sz w:val="16"/>
      <w:szCs w:val="16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 w:cs="Times New Roman"/>
      <w:b/>
      <w:bCs/>
      <w:sz w:val="32"/>
      <w:szCs w:val="32"/>
      <w:lang w:val="nl-N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Arial" w:hAnsi="Arial" w:cs="Arial"/>
      <w:sz w:val="16"/>
      <w:szCs w:val="16"/>
      <w:lang w:val="en-GB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nl-NL"/>
    </w:rPr>
  </w:style>
  <w:style w:type="character" w:styleId="Style15">
    <w:name w:val="Нижний колонтитул Знак"/>
    <w:qFormat/>
    <w:rPr>
      <w:rFonts w:ascii="Arial" w:hAnsi="Arial" w:cs="Arial"/>
      <w:sz w:val="16"/>
      <w:szCs w:val="16"/>
      <w:lang w:val="en-GB"/>
    </w:rPr>
  </w:style>
  <w:style w:type="character" w:styleId="BodyTextHanging6cmChar">
    <w:name w:val="Body Text Hanging: 6 cm Char"/>
    <w:qFormat/>
    <w:rPr>
      <w:rFonts w:ascii="Arial" w:hAnsi="Arial" w:cs="Arial"/>
      <w:lang w:val="en-US" w:eastAsia="en-US"/>
    </w:rPr>
  </w:style>
  <w:style w:type="character" w:styleId="Style16">
    <w:name w:val="Схема документа Знак"/>
    <w:qFormat/>
    <w:rPr>
      <w:rFonts w:ascii="Tahoma" w:hAnsi="Tahoma" w:cs="Tahoma"/>
      <w:sz w:val="16"/>
      <w:szCs w:val="16"/>
      <w:lang w:val="en-GB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next w:val="Normal"/>
    <w:qFormat/>
    <w:pPr>
      <w:keepNext/>
      <w:widowControl/>
      <w:shd w:fill="0070C0" w:val="clear"/>
      <w:spacing w:before="120" w:after="0"/>
    </w:pPr>
    <w:rPr>
      <w:rFonts w:ascii="Arial" w:hAnsi="Arial" w:eastAsia="Times New Roman" w:cs="Arial"/>
      <w:b/>
      <w:bCs/>
      <w:color w:val="FFFFFF"/>
      <w:sz w:val="20"/>
      <w:szCs w:val="20"/>
      <w:lang w:val="en-GB" w:bidi="ar-SA" w:eastAsia="zh-CN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Subheading">
    <w:name w:val="Subheading"/>
    <w:next w:val="Normal"/>
    <w:qFormat/>
    <w:pPr>
      <w:keepNext/>
      <w:widowControl/>
      <w:shd w:fill="C6D9F1" w:val="clear"/>
      <w:spacing w:before="0" w:after="60"/>
    </w:pPr>
    <w:rPr>
      <w:rFonts w:ascii="Arial" w:hAnsi="Arial" w:eastAsia="Times New Roman" w:cs="Arial"/>
      <w:b/>
      <w:bCs/>
      <w:color w:val="0070C0"/>
      <w:sz w:val="16"/>
      <w:szCs w:val="16"/>
      <w:lang w:val="en-GB" w:bidi="ar-SA" w:eastAsia="zh-CN"/>
    </w:rPr>
  </w:style>
  <w:style w:type="paragraph" w:styleId="Subsubheading">
    <w:name w:val="Subsubheading"/>
    <w:next w:val="Normal"/>
    <w:qFormat/>
    <w:pPr>
      <w:keepNext/>
      <w:widowControl/>
      <w:spacing w:before="120" w:after="60"/>
    </w:pPr>
    <w:rPr>
      <w:rFonts w:ascii="Arial" w:hAnsi="Arial" w:eastAsia="Times New Roman" w:cs="Arial"/>
      <w:b/>
      <w:bCs/>
      <w:color w:val="0070C0"/>
      <w:sz w:val="16"/>
      <w:szCs w:val="16"/>
      <w:lang w:val="nl-BE" w:bidi="ar-SA" w:eastAsia="zh-CN"/>
    </w:rPr>
  </w:style>
  <w:style w:type="paragraph" w:styleId="BodyTextHanging6cm">
    <w:name w:val="Body Text Hanging: 6 cm"/>
    <w:basedOn w:val="Heading"/>
    <w:qFormat/>
    <w:pPr>
      <w:keepNext/>
      <w:shd w:fill="FFFFFF" w:val="clear"/>
      <w:tabs>
        <w:tab w:val="left" w:pos="3119" w:leader="none"/>
        <w:tab w:val="left" w:pos="3402" w:leader="none"/>
      </w:tabs>
      <w:spacing w:before="0" w:after="0"/>
      <w:ind w:start="3402" w:hanging="3402"/>
    </w:pPr>
    <w:rPr>
      <w:rFonts w:cs="Times New Roman"/>
      <w:b w:val="false"/>
      <w:bCs w:val="false"/>
      <w:color w:val="000000"/>
      <w:lang w:val="en-US" w:eastAsia="en-US"/>
    </w:rPr>
  </w:style>
  <w:style w:type="paragraph" w:styleId="SpacingBeforeSubheading">
    <w:name w:val="SpacingBeforeSubheading"/>
    <w:next w:val="Subheading"/>
    <w:qFormat/>
    <w:pPr>
      <w:keepNext/>
      <w:widowControl/>
    </w:pPr>
    <w:rPr>
      <w:rFonts w:ascii="Arial" w:hAnsi="Arial" w:eastAsia="Times New Roman" w:cs="Arial"/>
      <w:color w:val="auto"/>
      <w:sz w:val="6"/>
      <w:szCs w:val="6"/>
      <w:lang w:val="nl-BE" w:bidi="ar-SA" w:eastAsia="zh-CN"/>
    </w:rPr>
  </w:style>
  <w:style w:type="paragraph" w:styleId="NoSpacing">
    <w:name w:val="No Spacing"/>
    <w:qFormat/>
    <w:pPr>
      <w:widowControl/>
    </w:pPr>
    <w:rPr>
      <w:rFonts w:ascii="Arial" w:hAnsi="Arial" w:eastAsia="Times New Roman" w:cs="Arial"/>
      <w:color w:val="auto"/>
      <w:sz w:val="16"/>
      <w:szCs w:val="16"/>
      <w:lang w:val="en-GB" w:bidi="ar-SA" w:eastAsia="zh-CN"/>
    </w:rPr>
  </w:style>
  <w:style w:type="paragraph" w:styleId="Style17">
    <w:name w:val="Схема документа"/>
    <w:basedOn w:val="Normal"/>
    <w:qFormat/>
    <w:pPr/>
    <w:rPr>
      <w:rFonts w:ascii="Tahoma" w:hAnsi="Tahoma" w:cs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kuazot.ru" TargetMode="External"/><Relationship Id="rId3" Type="http://schemas.openxmlformats.org/officeDocument/2006/relationships/hyperlink" Target="http://www.kuazot.ru/" TargetMode="External"/><Relationship Id="rId4" Type="http://schemas.openxmlformats.org/officeDocument/2006/relationships/hyperlink" Target="mailto:ies14.reach@intertek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2021-01-27T08:36:00Z</dcterms:created>
  <dc:creator>Yandex.Translate</dc:creator>
  <dc:description>Translated with Yandex.Translate</dc:description>
  <dc:language>en-US</dc:language>
  <cp:lastModifiedBy>USER</cp:lastModifiedBy>
  <dcterms:modified xsi:type="dcterms:W3CDTF">2021-01-27T08:36:00Z</dcterms:modified>
  <cp:revision>2</cp:revision>
  <dc:subject/>
  <dc:title>«Test»</dc:title>
</cp:coreProperties>
</file>